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18" w:type="dxa"/>
        <w:tblLayout w:type="fixed"/>
        <w:tblLook w:val="04A0" w:firstRow="1" w:lastRow="0" w:firstColumn="1" w:lastColumn="0" w:noHBand="0" w:noVBand="1"/>
      </w:tblPr>
      <w:tblGrid>
        <w:gridCol w:w="1470"/>
        <w:gridCol w:w="2494"/>
        <w:gridCol w:w="2552"/>
        <w:gridCol w:w="3118"/>
        <w:gridCol w:w="2977"/>
        <w:gridCol w:w="3107"/>
      </w:tblGrid>
      <w:tr w:rsidR="006A4E8F" w:rsidTr="006A4E8F">
        <w:trPr>
          <w:trHeight w:val="311"/>
        </w:trPr>
        <w:tc>
          <w:tcPr>
            <w:tcW w:w="15718" w:type="dxa"/>
            <w:gridSpan w:val="6"/>
          </w:tcPr>
          <w:p w:rsidR="006A4E8F" w:rsidRPr="00D56A3B" w:rsidRDefault="006A4E8F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276AD2"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Spanish</w:t>
            </w:r>
          </w:p>
        </w:tc>
      </w:tr>
      <w:tr w:rsidR="006A4E8F" w:rsidTr="006A4E8F">
        <w:trPr>
          <w:trHeight w:val="2771"/>
        </w:trPr>
        <w:tc>
          <w:tcPr>
            <w:tcW w:w="1470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14248" w:type="dxa"/>
            <w:gridSpan w:val="5"/>
          </w:tcPr>
          <w:p w:rsidR="00C72CE0" w:rsidRDefault="00C72CE0" w:rsidP="00C72CE0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  <w:r>
              <w:rPr>
                <w:rFonts w:ascii="Century Gothic" w:hAnsi="Century Gothic" w:cs="Helvetica"/>
                <w:b/>
                <w:color w:val="282828"/>
              </w:rPr>
              <w:t xml:space="preserve">To offer a broad, vibrant and ambitious MFL curriculum that will inspire and excite our students to become lifelong language learners. </w:t>
            </w:r>
          </w:p>
          <w:p w:rsidR="00C72CE0" w:rsidRPr="00B042D5" w:rsidRDefault="00C72CE0" w:rsidP="00C72CE0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</w:p>
          <w:p w:rsidR="00C72CE0" w:rsidRDefault="00C72CE0" w:rsidP="00C72CE0">
            <w:pPr>
              <w:spacing w:after="0" w:line="240" w:lineRule="auto"/>
              <w:rPr>
                <w:rFonts w:ascii="Century Gothic" w:hAnsi="Century Gothic" w:cs="Helvetica"/>
                <w:color w:val="282828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The opportunity to learn a foreign language is not limited to the grammar and vocabulary of French or Spanish, it is an experience of a different world, culture and traditions. It allows students to learn something diverse from their everyday lives. Learning another language teaches </w:t>
            </w:r>
            <w:r>
              <w:rPr>
                <w:rFonts w:ascii="Century Gothic" w:hAnsi="Century Gothic" w:cs="Helvetica"/>
                <w:color w:val="282828"/>
              </w:rPr>
              <w:t>students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more about </w:t>
            </w:r>
            <w:r>
              <w:rPr>
                <w:rFonts w:ascii="Century Gothic" w:hAnsi="Century Gothic" w:cs="Helvetica"/>
                <w:color w:val="282828"/>
              </w:rPr>
              <w:t>thei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r native language, provides </w:t>
            </w:r>
            <w:r>
              <w:rPr>
                <w:rFonts w:ascii="Century Gothic" w:hAnsi="Century Gothic" w:cs="Helvetica"/>
                <w:color w:val="282828"/>
              </w:rPr>
              <w:t>them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with excellent communication skills, increases confidence in speaking and allows a curious mind via a range of broad themes and topics through both classroom and extra-curricular opportunities. </w:t>
            </w:r>
          </w:p>
          <w:p w:rsidR="00C72CE0" w:rsidRPr="004B1C1F" w:rsidRDefault="00C72CE0" w:rsidP="00C72CE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>value the importance of language learning</w:t>
            </w:r>
            <w:r>
              <w:rPr>
                <w:rFonts w:ascii="Century Gothic" w:hAnsi="Century Gothic" w:cs="Helvetica"/>
                <w:color w:val="282828"/>
              </w:rPr>
              <w:t xml:space="preserve"> through gaining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knowledge and understanding of another language, as well as the culture of the French and Spanish speaking world. In French and Spanish, 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develop the four key skills of reading, writing, listening and speaking alongside building grammatical and phonetical confidence. </w:t>
            </w:r>
          </w:p>
          <w:p w:rsidR="006A4E8F" w:rsidRDefault="006A4E8F" w:rsidP="00893BFD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</w:p>
        </w:tc>
      </w:tr>
      <w:tr w:rsidR="00280EAC" w:rsidTr="00AE560D">
        <w:trPr>
          <w:trHeight w:val="339"/>
        </w:trPr>
        <w:tc>
          <w:tcPr>
            <w:tcW w:w="1470" w:type="dxa"/>
          </w:tcPr>
          <w:p w:rsidR="00280EAC" w:rsidRPr="007F1175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494" w:type="dxa"/>
          </w:tcPr>
          <w:p w:rsidR="00280EAC" w:rsidRPr="007F1175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1</w:t>
            </w:r>
          </w:p>
        </w:tc>
        <w:tc>
          <w:tcPr>
            <w:tcW w:w="2552" w:type="dxa"/>
          </w:tcPr>
          <w:p w:rsidR="00280EAC" w:rsidRPr="007F1175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2</w:t>
            </w:r>
          </w:p>
        </w:tc>
        <w:tc>
          <w:tcPr>
            <w:tcW w:w="3118" w:type="dxa"/>
          </w:tcPr>
          <w:p w:rsidR="00280EAC" w:rsidRPr="007F1175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3</w:t>
            </w:r>
          </w:p>
        </w:tc>
        <w:tc>
          <w:tcPr>
            <w:tcW w:w="2977" w:type="dxa"/>
          </w:tcPr>
          <w:p w:rsidR="00280EAC" w:rsidRPr="007F1175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4</w:t>
            </w:r>
          </w:p>
        </w:tc>
        <w:tc>
          <w:tcPr>
            <w:tcW w:w="3107" w:type="dxa"/>
          </w:tcPr>
          <w:p w:rsidR="00280EAC" w:rsidRPr="007F1175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5</w:t>
            </w:r>
          </w:p>
        </w:tc>
      </w:tr>
      <w:tr w:rsidR="00280EAC" w:rsidTr="00AE560D">
        <w:trPr>
          <w:trHeight w:val="1527"/>
        </w:trPr>
        <w:tc>
          <w:tcPr>
            <w:tcW w:w="1470" w:type="dxa"/>
          </w:tcPr>
          <w:p w:rsidR="00280EAC" w:rsidRPr="007F1175" w:rsidRDefault="00280EAC" w:rsidP="00F72D2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Knowledge and Vocabulary focus</w:t>
            </w:r>
          </w:p>
        </w:tc>
        <w:tc>
          <w:tcPr>
            <w:tcW w:w="2494" w:type="dxa"/>
          </w:tcPr>
          <w:p w:rsidR="00280EAC" w:rsidRPr="003C3D41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3C3D41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Weather and free-time activities</w:t>
            </w:r>
          </w:p>
          <w:p w:rsidR="00280EAC" w:rsidRDefault="00280EAC" w:rsidP="00C33D32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-What free-time activities you do in different types of weather</w:t>
            </w:r>
          </w:p>
          <w:p w:rsidR="00280EAC" w:rsidRDefault="00280EAC" w:rsidP="00C33D32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-Where you do them and who with.</w:t>
            </w:r>
          </w:p>
          <w:p w:rsidR="00280EAC" w:rsidRPr="007F1175" w:rsidRDefault="00280EAC" w:rsidP="00C33D32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-Words for places in town</w:t>
            </w:r>
          </w:p>
        </w:tc>
        <w:tc>
          <w:tcPr>
            <w:tcW w:w="2552" w:type="dxa"/>
          </w:tcPr>
          <w:p w:rsidR="00280EAC" w:rsidRDefault="00280EAC" w:rsidP="005339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Daily routine</w:t>
            </w:r>
          </w:p>
          <w:p w:rsidR="00280EAC" w:rsidRPr="007F1175" w:rsidRDefault="00280EAC" w:rsidP="005339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</w:p>
          <w:p w:rsidR="00280EAC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What you do every day</w:t>
            </w:r>
          </w:p>
          <w:p w:rsidR="00280EAC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At what time you do it</w:t>
            </w:r>
          </w:p>
          <w:p w:rsidR="00280EAC" w:rsidRPr="007F1175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-Sequencing events and actions (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eg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</w:rPr>
              <w:t xml:space="preserve"> using ‘then’, ‘finally’)</w:t>
            </w:r>
          </w:p>
        </w:tc>
        <w:tc>
          <w:tcPr>
            <w:tcW w:w="3118" w:type="dxa"/>
          </w:tcPr>
          <w:p w:rsidR="00280EAC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My house and where it is located – saying what I like and dislike</w:t>
            </w:r>
          </w:p>
          <w:p w:rsidR="00280EAC" w:rsidRPr="007F1175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</w:p>
          <w:p w:rsidR="00280EAC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- </w:t>
            </w:r>
            <w:r>
              <w:rPr>
                <w:rFonts w:ascii="Century Gothic" w:hAnsi="Century Gothic" w:cs="Tahoma"/>
                <w:bCs/>
                <w:color w:val="000000"/>
              </w:rPr>
              <w:t>Where your house is located</w:t>
            </w:r>
          </w:p>
          <w:p w:rsidR="00280EAC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-What your favourite room in the house is</w:t>
            </w:r>
          </w:p>
          <w:p w:rsidR="00280EAC" w:rsidRPr="007F1175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-What you like to do in each room</w:t>
            </w:r>
          </w:p>
          <w:p w:rsidR="00280EAC" w:rsidRPr="007F1175" w:rsidRDefault="00280EAC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977" w:type="dxa"/>
          </w:tcPr>
          <w:p w:rsidR="00280EAC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My</w:t>
            </w:r>
            <w:proofErr w:type="spellEnd"/>
            <w:r w:rsidR="00E75ACF"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school</w:t>
            </w:r>
            <w:proofErr w:type="spellEnd"/>
          </w:p>
          <w:p w:rsidR="00280EAC" w:rsidRPr="00C33D32" w:rsidRDefault="00280EA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</w:pPr>
          </w:p>
          <w:p w:rsidR="00280EAC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-</w:t>
            </w:r>
            <w:r w:rsidR="00AE560D">
              <w:rPr>
                <w:rFonts w:ascii="Century Gothic" w:hAnsi="Century Gothic" w:cs="Tahoma"/>
                <w:bCs/>
                <w:color w:val="000000"/>
              </w:rPr>
              <w:t>Describing your school</w:t>
            </w:r>
          </w:p>
          <w:p w:rsidR="00AE560D" w:rsidRDefault="00AE560D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-Describing what facil</w:t>
            </w:r>
            <w:r w:rsidR="00DD14AA">
              <w:rPr>
                <w:rFonts w:ascii="Century Gothic" w:hAnsi="Century Gothic" w:cs="Tahoma"/>
                <w:bCs/>
                <w:color w:val="000000"/>
              </w:rPr>
              <w:t>i</w:t>
            </w:r>
            <w:r>
              <w:rPr>
                <w:rFonts w:ascii="Century Gothic" w:hAnsi="Century Gothic" w:cs="Tahoma"/>
                <w:bCs/>
                <w:color w:val="000000"/>
              </w:rPr>
              <w:t>ties your school has</w:t>
            </w:r>
          </w:p>
          <w:p w:rsidR="00AE560D" w:rsidRDefault="00AE560D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-Talking about your teachers</w:t>
            </w:r>
          </w:p>
          <w:p w:rsidR="00AE560D" w:rsidRDefault="00AE560D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-Comparing your school subjects</w:t>
            </w:r>
          </w:p>
          <w:p w:rsidR="00AE560D" w:rsidRDefault="00AE560D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-Giving opinions about teachers and school subjects.</w:t>
            </w:r>
          </w:p>
          <w:p w:rsidR="00280EAC" w:rsidRPr="007F1175" w:rsidRDefault="00280EAC" w:rsidP="00C33D3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280EAC" w:rsidRPr="007F1175" w:rsidRDefault="00280EAC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107" w:type="dxa"/>
          </w:tcPr>
          <w:p w:rsidR="00280EAC" w:rsidRDefault="00280EAC" w:rsidP="00C33D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u w:val="single"/>
              </w:rPr>
              <w:t>Future plans for holidays</w:t>
            </w:r>
          </w:p>
          <w:p w:rsidR="00280EAC" w:rsidRDefault="00AE560D" w:rsidP="00AE560D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-What you intend to do on future holidays</w:t>
            </w:r>
          </w:p>
          <w:p w:rsidR="00AE560D" w:rsidRDefault="00AE560D" w:rsidP="00AE560D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-Where you are going to go</w:t>
            </w:r>
          </w:p>
          <w:p w:rsidR="00AE560D" w:rsidRDefault="00AE560D" w:rsidP="00AE560D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-Where you are going to stay</w:t>
            </w:r>
          </w:p>
          <w:p w:rsidR="00AE560D" w:rsidRPr="00AE560D" w:rsidRDefault="00AE560D" w:rsidP="00AE560D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-Modes of transport</w:t>
            </w:r>
          </w:p>
          <w:p w:rsidR="00280EAC" w:rsidRPr="00654C2D" w:rsidRDefault="00280EAC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54C2D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</w:tr>
      <w:tr w:rsidR="00AE560D" w:rsidTr="00101F1F">
        <w:trPr>
          <w:trHeight w:val="4638"/>
        </w:trPr>
        <w:tc>
          <w:tcPr>
            <w:tcW w:w="1470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On top of developing the key skill areas of: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Listening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Reading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Writing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Speaking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We also develop the skill of: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-Grammar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-Phonics</w:t>
            </w:r>
          </w:p>
        </w:tc>
        <w:tc>
          <w:tcPr>
            <w:tcW w:w="2494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AE560D" w:rsidRDefault="00AE560D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-Weather phrases using HACER</w:t>
            </w:r>
          </w:p>
          <w:p w:rsidR="00AE560D" w:rsidRDefault="00AE560D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-The verbs HACER, IR and JUGAR in the present indicative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and key vowel sounds.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[a] [e]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i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] [o] [u] 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[ñ]</w:t>
            </w:r>
          </w:p>
        </w:tc>
        <w:tc>
          <w:tcPr>
            <w:tcW w:w="2552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AE560D" w:rsidRDefault="00AE560D" w:rsidP="00B46AD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-Revisit the full conjugation of the verb IR. </w:t>
            </w:r>
          </w:p>
          <w:p w:rsidR="00AE560D" w:rsidRDefault="00AE560D" w:rsidP="00B46AD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Full conjugation of JUGAR and HACER.</w:t>
            </w:r>
          </w:p>
          <w:p w:rsidR="00AE560D" w:rsidRPr="00B46AD2" w:rsidRDefault="00AE560D" w:rsidP="00B46AD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-Sequencer words and phrases.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AE560D" w:rsidRPr="007F1175" w:rsidRDefault="00AE560D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ll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gu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 [j] silent h</w:t>
            </w:r>
          </w:p>
          <w:p w:rsidR="00AE560D" w:rsidRPr="007F1175" w:rsidRDefault="00AE560D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118" w:type="dxa"/>
          </w:tcPr>
          <w:p w:rsidR="00AE560D" w:rsidRPr="007F1175" w:rsidRDefault="00AE560D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AE560D" w:rsidRDefault="00AE560D" w:rsidP="006200C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-The present indicative of key reflexive -AR verbs </w:t>
            </w:r>
          </w:p>
          <w:p w:rsidR="00AE560D" w:rsidRDefault="00AE560D" w:rsidP="006200C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-Adjectival agreement</w:t>
            </w:r>
          </w:p>
          <w:p w:rsidR="00AE560D" w:rsidRPr="006200C4" w:rsidRDefault="00AE560D" w:rsidP="006200C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-Frequency markers</w:t>
            </w:r>
          </w:p>
          <w:p w:rsidR="00AE560D" w:rsidRPr="007F1175" w:rsidRDefault="00AE560D" w:rsidP="006326B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AE560D" w:rsidRPr="007F1175" w:rsidRDefault="00AE560D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[e] [cu]+ vowel [ca]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ge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] </w:t>
            </w:r>
          </w:p>
          <w:p w:rsidR="00AE560D" w:rsidRPr="007F1175" w:rsidRDefault="00AE560D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977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AE560D" w:rsidRDefault="00AE560D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DD14AA">
              <w:rPr>
                <w:rFonts w:ascii="Century Gothic" w:hAnsi="Century Gothic" w:cs="Tahoma"/>
                <w:bCs/>
                <w:color w:val="000000"/>
              </w:rPr>
              <w:t>HABER in the 3</w:t>
            </w:r>
            <w:r w:rsidR="00DD14AA" w:rsidRPr="00DD14AA">
              <w:rPr>
                <w:rFonts w:ascii="Century Gothic" w:hAnsi="Century Gothic" w:cs="Tahoma"/>
                <w:bCs/>
                <w:color w:val="000000"/>
                <w:vertAlign w:val="superscript"/>
              </w:rPr>
              <w:t>rd</w:t>
            </w:r>
            <w:r w:rsidR="00DD14AA">
              <w:rPr>
                <w:rFonts w:ascii="Century Gothic" w:hAnsi="Century Gothic" w:cs="Tahoma"/>
                <w:bCs/>
                <w:color w:val="000000"/>
              </w:rPr>
              <w:t xml:space="preserve"> person (hay=there is)</w:t>
            </w:r>
          </w:p>
          <w:p w:rsidR="00DD14AA" w:rsidRDefault="00DD14AA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-Opinion phrases and justifications</w:t>
            </w:r>
          </w:p>
          <w:p w:rsidR="00DD14AA" w:rsidRDefault="00DD14AA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-Comparatives</w:t>
            </w:r>
          </w:p>
          <w:p w:rsidR="003A34EA" w:rsidRDefault="003A34EA" w:rsidP="003C3D4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-The full conjugation of the verb SER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13727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AE560D" w:rsidRPr="007F1175" w:rsidRDefault="00AE560D" w:rsidP="0013727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[l]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ll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]two vowel 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dipthongs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ue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ua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ie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107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AE560D" w:rsidRDefault="003A34EA" w:rsidP="003A34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-The formation of the near future tense</w:t>
            </w:r>
          </w:p>
          <w:p w:rsidR="003A34EA" w:rsidRDefault="003A34EA" w:rsidP="003A34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-Full conjugation of the verb IR</w:t>
            </w:r>
          </w:p>
          <w:p w:rsidR="003A34EA" w:rsidRDefault="003A34EA" w:rsidP="003A34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-The verb SER in the simple future tense</w:t>
            </w:r>
          </w:p>
          <w:p w:rsidR="003A34EA" w:rsidRPr="003A34EA" w:rsidRDefault="0027581A" w:rsidP="003A34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-Adjectival agreement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13727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Spanish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 xml:space="preserve"> 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pronunciation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 xml:space="preserve"> [ll] [z][v]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eu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 xml:space="preserve">] [que] </w:t>
            </w:r>
          </w:p>
          <w:p w:rsidR="00AE560D" w:rsidRPr="0071218E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E560D" w:rsidTr="00CC1195">
        <w:trPr>
          <w:trHeight w:val="1244"/>
        </w:trPr>
        <w:tc>
          <w:tcPr>
            <w:tcW w:w="1470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494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24E6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Reading assessment</w:t>
            </w:r>
          </w:p>
        </w:tc>
        <w:tc>
          <w:tcPr>
            <w:tcW w:w="2552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Listening assessment</w:t>
            </w:r>
          </w:p>
        </w:tc>
        <w:tc>
          <w:tcPr>
            <w:tcW w:w="3118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Writing/Speaking assessment</w:t>
            </w:r>
          </w:p>
        </w:tc>
        <w:tc>
          <w:tcPr>
            <w:tcW w:w="2977" w:type="dxa"/>
          </w:tcPr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Reading assessment</w:t>
            </w:r>
          </w:p>
        </w:tc>
        <w:tc>
          <w:tcPr>
            <w:tcW w:w="3107" w:type="dxa"/>
          </w:tcPr>
          <w:p w:rsidR="00AE560D" w:rsidRPr="007F1175" w:rsidRDefault="00AE560D" w:rsidP="0084376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Listening assessment</w:t>
            </w:r>
          </w:p>
          <w:p w:rsidR="00AE560D" w:rsidRPr="007F1175" w:rsidRDefault="00AE560D" w:rsidP="00F72D2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AE560D" w:rsidRDefault="00AE560D" w:rsidP="0084376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7F1175" w:rsidRDefault="00AE560D" w:rsidP="0084376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Writing assessment</w:t>
            </w:r>
          </w:p>
        </w:tc>
      </w:tr>
      <w:tr w:rsidR="00AE560D" w:rsidTr="00B712E4">
        <w:trPr>
          <w:trHeight w:val="5854"/>
        </w:trPr>
        <w:tc>
          <w:tcPr>
            <w:tcW w:w="1470" w:type="dxa"/>
          </w:tcPr>
          <w:p w:rsidR="00AE560D" w:rsidRDefault="00AE560D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Curiosity</w:t>
            </w:r>
          </w:p>
          <w:p w:rsidR="00AE560D" w:rsidRPr="00D56A3B" w:rsidRDefault="00AE560D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494" w:type="dxa"/>
          </w:tcPr>
          <w:p w:rsidR="008F13BC" w:rsidRDefault="00AE560D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Watch episode </w:t>
            </w:r>
            <w:r w:rsidR="008F13BC">
              <w:rPr>
                <w:rFonts w:ascii="Century Gothic" w:hAnsi="Century Gothic" w:cs="Tahoma"/>
                <w:b/>
                <w:bCs/>
                <w:color w:val="000000"/>
              </w:rPr>
              <w:t>3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of </w:t>
            </w:r>
            <w:r w:rsidRPr="00AE560D">
              <w:rPr>
                <w:rFonts w:ascii="Century Gothic" w:hAnsi="Century Gothic" w:cs="Tahoma"/>
                <w:b/>
                <w:bCs/>
                <w:i/>
                <w:color w:val="000000"/>
              </w:rPr>
              <w:t>Extra</w:t>
            </w:r>
          </w:p>
          <w:p w:rsidR="008F13BC" w:rsidRDefault="008F13BC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Default="008F13BC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F13BC">
              <w:rPr>
                <w:rFonts w:ascii="Century Gothic" w:hAnsi="Century Gothic" w:cs="Tahoma"/>
                <w:bCs/>
                <w:color w:val="000000"/>
              </w:rPr>
              <w:t>https://www.youtube.com/watch?v=SJHsaX6D6zk</w:t>
            </w:r>
            <w:r w:rsidR="00AE560D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AE560D" w:rsidRPr="00563831" w:rsidRDefault="00FA5636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3831">
              <w:rPr>
                <w:rFonts w:ascii="Century Gothic" w:hAnsi="Century Gothic" w:cs="Tahoma"/>
                <w:b/>
                <w:bCs/>
                <w:color w:val="000000"/>
              </w:rPr>
              <w:t xml:space="preserve">Listen to a </w:t>
            </w:r>
            <w:r w:rsidR="00563831" w:rsidRPr="00563831">
              <w:rPr>
                <w:rFonts w:ascii="Century Gothic" w:hAnsi="Century Gothic" w:cs="Tahoma"/>
                <w:b/>
                <w:bCs/>
                <w:color w:val="000000"/>
              </w:rPr>
              <w:t xml:space="preserve">beginner </w:t>
            </w:r>
            <w:r w:rsidRPr="00563831">
              <w:rPr>
                <w:rFonts w:ascii="Century Gothic" w:hAnsi="Century Gothic" w:cs="Tahoma"/>
                <w:b/>
                <w:bCs/>
                <w:color w:val="000000"/>
              </w:rPr>
              <w:t xml:space="preserve">Spanish podcast of your choice. </w:t>
            </w:r>
          </w:p>
          <w:p w:rsidR="00AE560D" w:rsidRDefault="00AE560D" w:rsidP="004A2EB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4238D7" w:rsidRPr="008F13BC" w:rsidRDefault="008F13BC" w:rsidP="004A2EB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8F13BC">
              <w:rPr>
                <w:rStyle w:val="Strong"/>
                <w:rFonts w:ascii="Century Gothic" w:hAnsi="Century Gothic"/>
                <w:b w:val="0"/>
                <w:spacing w:val="6"/>
                <w:shd w:val="clear" w:color="auto" w:fill="FFFFFF"/>
              </w:rPr>
              <w:t>To maximize your learning if you are a novice or intermediate listener, look for podcasts that provide transcripts.</w:t>
            </w:r>
            <w:r w:rsidRPr="008F13BC">
              <w:rPr>
                <w:rFonts w:ascii="Century Gothic" w:hAnsi="Century Gothic"/>
                <w:b/>
                <w:spacing w:val="6"/>
                <w:shd w:val="clear" w:color="auto" w:fill="FFFFFF"/>
              </w:rPr>
              <w:t xml:space="preserve"> You will get way more out of the listening experience if you have the chance to read it first.</w:t>
            </w:r>
          </w:p>
        </w:tc>
        <w:tc>
          <w:tcPr>
            <w:tcW w:w="3118" w:type="dxa"/>
          </w:tcPr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34D5A">
              <w:rPr>
                <w:rFonts w:ascii="Century Gothic" w:hAnsi="Century Gothic" w:cs="Tahoma"/>
                <w:b/>
                <w:bCs/>
                <w:color w:val="000000"/>
              </w:rPr>
              <w:t xml:space="preserve">Santiago </w:t>
            </w:r>
            <w:proofErr w:type="spellStart"/>
            <w:r w:rsidRPr="00D34D5A">
              <w:rPr>
                <w:rFonts w:ascii="Century Gothic" w:hAnsi="Century Gothic" w:cs="Tahoma"/>
                <w:b/>
                <w:bCs/>
                <w:color w:val="000000"/>
              </w:rPr>
              <w:t>Bernabéu</w:t>
            </w:r>
            <w:proofErr w:type="spellEnd"/>
            <w:r w:rsidRPr="00D34D5A">
              <w:rPr>
                <w:rFonts w:ascii="Century Gothic" w:hAnsi="Century Gothic" w:cs="Tahoma"/>
                <w:b/>
                <w:bCs/>
                <w:color w:val="000000"/>
              </w:rPr>
              <w:t xml:space="preserve"> Stadium Tour</w:t>
            </w: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D34D5A">
              <w:rPr>
                <w:rFonts w:ascii="Century Gothic" w:hAnsi="Century Gothic" w:cs="Tahoma"/>
                <w:bCs/>
                <w:i/>
                <w:color w:val="000000"/>
              </w:rPr>
              <w:t>Take a virtual tour around the Real Madrid football stadium.</w:t>
            </w: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34D5A">
              <w:rPr>
                <w:rFonts w:ascii="Century Gothic" w:hAnsi="Century Gothic" w:cs="Tahoma"/>
                <w:bCs/>
                <w:color w:val="000000"/>
              </w:rPr>
              <w:t>https://www.realmadrid.com/en/santiago-bernabeu-stadium/virtual-tour-3d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AE560D" w:rsidRPr="00166A39" w:rsidRDefault="00AE560D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</w:tc>
        <w:tc>
          <w:tcPr>
            <w:tcW w:w="2977" w:type="dxa"/>
          </w:tcPr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lang w:val="es-ES"/>
              </w:rPr>
            </w:pPr>
            <w:r w:rsidRPr="00D34D5A">
              <w:rPr>
                <w:rFonts w:ascii="Century Gothic" w:hAnsi="Century Gothic" w:cs="Tahoma"/>
                <w:b/>
                <w:bCs/>
                <w:color w:val="000000"/>
                <w:lang w:val="es-ES"/>
              </w:rPr>
              <w:t>Amigos de la Tierra</w:t>
            </w: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lang w:val="es-ES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lang w:val="es-ES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proofErr w:type="spellStart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>Browse</w:t>
            </w:r>
            <w:proofErr w:type="spellEnd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 xml:space="preserve"> </w:t>
            </w:r>
            <w:proofErr w:type="spellStart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>the</w:t>
            </w:r>
            <w:proofErr w:type="spellEnd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 xml:space="preserve"> Amigos de la Tierra </w:t>
            </w:r>
            <w:proofErr w:type="spellStart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>website</w:t>
            </w:r>
            <w:proofErr w:type="spellEnd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 xml:space="preserve">, a </w:t>
            </w:r>
            <w:proofErr w:type="spellStart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>Spanish</w:t>
            </w:r>
            <w:proofErr w:type="spellEnd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 xml:space="preserve"> eco </w:t>
            </w:r>
            <w:proofErr w:type="spellStart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>charity</w:t>
            </w:r>
            <w:proofErr w:type="spellEnd"/>
            <w:r w:rsidRPr="00D34D5A">
              <w:rPr>
                <w:rFonts w:ascii="Century Gothic" w:hAnsi="Century Gothic" w:cs="Tahoma"/>
                <w:bCs/>
                <w:i/>
                <w:color w:val="000000"/>
                <w:lang w:val="es-ES"/>
              </w:rPr>
              <w:t xml:space="preserve">. </w:t>
            </w:r>
            <w:r w:rsidRPr="00D34D5A">
              <w:rPr>
                <w:rFonts w:ascii="Century Gothic" w:hAnsi="Century Gothic" w:cs="Tahoma"/>
                <w:bCs/>
                <w:i/>
                <w:color w:val="000000"/>
              </w:rPr>
              <w:t>Read up about events and activities ran and explore their version for a greener society!</w:t>
            </w: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AE560D" w:rsidRPr="00CF6706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34D5A">
              <w:rPr>
                <w:rFonts w:ascii="Century Gothic" w:hAnsi="Century Gothic" w:cs="Tahoma"/>
                <w:bCs/>
                <w:color w:val="000000"/>
              </w:rPr>
              <w:t>https://www.tierra.org/</w:t>
            </w:r>
          </w:p>
        </w:tc>
        <w:tc>
          <w:tcPr>
            <w:tcW w:w="3107" w:type="dxa"/>
          </w:tcPr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34D5A">
              <w:rPr>
                <w:rFonts w:ascii="Century Gothic" w:hAnsi="Century Gothic" w:cs="Tahoma"/>
                <w:b/>
                <w:bCs/>
                <w:color w:val="000000"/>
              </w:rPr>
              <w:t>Las Ventas Bullring Tour</w:t>
            </w: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D34D5A">
              <w:rPr>
                <w:rFonts w:ascii="Century Gothic" w:hAnsi="Century Gothic" w:cs="Tahoma"/>
                <w:bCs/>
                <w:i/>
                <w:color w:val="000000"/>
              </w:rPr>
              <w:t xml:space="preserve">Take a virtual tour of the famous bullring Las Ventas in Madrid. Click on the little circles as you go around to watch clips/ </w:t>
            </w:r>
            <w:proofErr w:type="gramStart"/>
            <w:r w:rsidRPr="00D34D5A">
              <w:rPr>
                <w:rFonts w:ascii="Century Gothic" w:hAnsi="Century Gothic" w:cs="Tahoma"/>
                <w:bCs/>
                <w:i/>
                <w:color w:val="000000"/>
              </w:rPr>
              <w:t>read  about</w:t>
            </w:r>
            <w:proofErr w:type="gramEnd"/>
            <w:r w:rsidRPr="00D34D5A">
              <w:rPr>
                <w:rFonts w:ascii="Century Gothic" w:hAnsi="Century Gothic" w:cs="Tahoma"/>
                <w:bCs/>
                <w:i/>
                <w:color w:val="000000"/>
              </w:rPr>
              <w:t xml:space="preserve"> what is on display.</w:t>
            </w: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D34D5A" w:rsidRDefault="00AE560D" w:rsidP="00AE56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E560D" w:rsidRPr="00F0511B" w:rsidRDefault="00AE560D" w:rsidP="00AE56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34D5A">
              <w:rPr>
                <w:rFonts w:ascii="Century Gothic" w:hAnsi="Century Gothic" w:cs="Tahoma"/>
                <w:bCs/>
                <w:color w:val="000000"/>
              </w:rPr>
              <w:t>https://lasventastour.com/en/the-visits/virtual-tour/</w:t>
            </w: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26.5pt;height:215.25pt" o:bullet="t">
        <v:imagedata r:id="rId1" o:title="Star"/>
      </v:shape>
    </w:pict>
  </w:numPicBullet>
  <w:abstractNum w:abstractNumId="0" w15:restartNumberingAfterBreak="0">
    <w:nsid w:val="06CA16F4"/>
    <w:multiLevelType w:val="hybridMultilevel"/>
    <w:tmpl w:val="02607048"/>
    <w:lvl w:ilvl="0" w:tplc="0998738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01BB1"/>
    <w:multiLevelType w:val="hybridMultilevel"/>
    <w:tmpl w:val="43E2A26C"/>
    <w:lvl w:ilvl="0" w:tplc="FD5EC62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4D2A"/>
    <w:multiLevelType w:val="hybridMultilevel"/>
    <w:tmpl w:val="AEEC159E"/>
    <w:lvl w:ilvl="0" w:tplc="3B823F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E38AC"/>
    <w:multiLevelType w:val="hybridMultilevel"/>
    <w:tmpl w:val="FFF0569C"/>
    <w:lvl w:ilvl="0" w:tplc="733E9F8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42021"/>
    <w:multiLevelType w:val="hybridMultilevel"/>
    <w:tmpl w:val="10C6E856"/>
    <w:lvl w:ilvl="0" w:tplc="48CC410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A5BD4"/>
    <w:multiLevelType w:val="hybridMultilevel"/>
    <w:tmpl w:val="0338EBB0"/>
    <w:lvl w:ilvl="0" w:tplc="9364FA8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B3EFB"/>
    <w:multiLevelType w:val="hybridMultilevel"/>
    <w:tmpl w:val="91444410"/>
    <w:lvl w:ilvl="0" w:tplc="89DC620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4"/>
  </w:num>
  <w:num w:numId="4">
    <w:abstractNumId w:val="27"/>
  </w:num>
  <w:num w:numId="5">
    <w:abstractNumId w:val="8"/>
  </w:num>
  <w:num w:numId="6">
    <w:abstractNumId w:val="10"/>
  </w:num>
  <w:num w:numId="7">
    <w:abstractNumId w:val="22"/>
  </w:num>
  <w:num w:numId="8">
    <w:abstractNumId w:val="16"/>
  </w:num>
  <w:num w:numId="9">
    <w:abstractNumId w:val="4"/>
  </w:num>
  <w:num w:numId="10">
    <w:abstractNumId w:val="1"/>
  </w:num>
  <w:num w:numId="11">
    <w:abstractNumId w:val="15"/>
  </w:num>
  <w:num w:numId="12">
    <w:abstractNumId w:val="20"/>
  </w:num>
  <w:num w:numId="13">
    <w:abstractNumId w:val="17"/>
  </w:num>
  <w:num w:numId="14">
    <w:abstractNumId w:val="6"/>
  </w:num>
  <w:num w:numId="15">
    <w:abstractNumId w:val="3"/>
  </w:num>
  <w:num w:numId="16">
    <w:abstractNumId w:val="14"/>
  </w:num>
  <w:num w:numId="17">
    <w:abstractNumId w:val="13"/>
  </w:num>
  <w:num w:numId="18">
    <w:abstractNumId w:val="23"/>
  </w:num>
  <w:num w:numId="19">
    <w:abstractNumId w:val="25"/>
  </w:num>
  <w:num w:numId="20">
    <w:abstractNumId w:val="5"/>
  </w:num>
  <w:num w:numId="21">
    <w:abstractNumId w:val="2"/>
  </w:num>
  <w:num w:numId="22">
    <w:abstractNumId w:val="11"/>
  </w:num>
  <w:num w:numId="23">
    <w:abstractNumId w:val="12"/>
  </w:num>
  <w:num w:numId="24">
    <w:abstractNumId w:val="21"/>
  </w:num>
  <w:num w:numId="25">
    <w:abstractNumId w:val="19"/>
  </w:num>
  <w:num w:numId="26">
    <w:abstractNumId w:val="0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27076"/>
    <w:rsid w:val="00032223"/>
    <w:rsid w:val="000400BB"/>
    <w:rsid w:val="00042531"/>
    <w:rsid w:val="00046D19"/>
    <w:rsid w:val="0005049A"/>
    <w:rsid w:val="000636AA"/>
    <w:rsid w:val="00090101"/>
    <w:rsid w:val="000C1CA6"/>
    <w:rsid w:val="000E100B"/>
    <w:rsid w:val="000F38D7"/>
    <w:rsid w:val="00100584"/>
    <w:rsid w:val="001016C8"/>
    <w:rsid w:val="00105FE4"/>
    <w:rsid w:val="00127BAD"/>
    <w:rsid w:val="0013727B"/>
    <w:rsid w:val="001644CD"/>
    <w:rsid w:val="00170EA7"/>
    <w:rsid w:val="001908D3"/>
    <w:rsid w:val="00190FEB"/>
    <w:rsid w:val="001B5652"/>
    <w:rsid w:val="001C7DEB"/>
    <w:rsid w:val="001F1933"/>
    <w:rsid w:val="001F3EDA"/>
    <w:rsid w:val="002172E8"/>
    <w:rsid w:val="0023423A"/>
    <w:rsid w:val="00235D12"/>
    <w:rsid w:val="002443B5"/>
    <w:rsid w:val="0027581A"/>
    <w:rsid w:val="00276AD2"/>
    <w:rsid w:val="00280EAC"/>
    <w:rsid w:val="00281902"/>
    <w:rsid w:val="00284018"/>
    <w:rsid w:val="002A3C8F"/>
    <w:rsid w:val="002B69AE"/>
    <w:rsid w:val="002C3811"/>
    <w:rsid w:val="002D37B7"/>
    <w:rsid w:val="002E3D6E"/>
    <w:rsid w:val="002E788E"/>
    <w:rsid w:val="00304B61"/>
    <w:rsid w:val="00311FA6"/>
    <w:rsid w:val="00320616"/>
    <w:rsid w:val="0032144E"/>
    <w:rsid w:val="003538FE"/>
    <w:rsid w:val="00355EC5"/>
    <w:rsid w:val="003613BF"/>
    <w:rsid w:val="00397C0F"/>
    <w:rsid w:val="003A017B"/>
    <w:rsid w:val="003A34EA"/>
    <w:rsid w:val="003A7E33"/>
    <w:rsid w:val="003B05D8"/>
    <w:rsid w:val="003C3B58"/>
    <w:rsid w:val="003C3D41"/>
    <w:rsid w:val="003E274D"/>
    <w:rsid w:val="00400C82"/>
    <w:rsid w:val="00417836"/>
    <w:rsid w:val="004238D7"/>
    <w:rsid w:val="0042737B"/>
    <w:rsid w:val="0047269C"/>
    <w:rsid w:val="0047765C"/>
    <w:rsid w:val="00486A57"/>
    <w:rsid w:val="004A25A4"/>
    <w:rsid w:val="004A2EB2"/>
    <w:rsid w:val="004A4139"/>
    <w:rsid w:val="004A4B6D"/>
    <w:rsid w:val="004B037E"/>
    <w:rsid w:val="004B7BF4"/>
    <w:rsid w:val="004E52FC"/>
    <w:rsid w:val="004F3B31"/>
    <w:rsid w:val="005131A6"/>
    <w:rsid w:val="005339F2"/>
    <w:rsid w:val="00563831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5E25DB"/>
    <w:rsid w:val="00613D89"/>
    <w:rsid w:val="006200C4"/>
    <w:rsid w:val="006326B0"/>
    <w:rsid w:val="00654C2D"/>
    <w:rsid w:val="00673BAB"/>
    <w:rsid w:val="006825AD"/>
    <w:rsid w:val="006A4E8F"/>
    <w:rsid w:val="006C5CA4"/>
    <w:rsid w:val="006D0EDF"/>
    <w:rsid w:val="0071218E"/>
    <w:rsid w:val="00741EE7"/>
    <w:rsid w:val="00743396"/>
    <w:rsid w:val="00751202"/>
    <w:rsid w:val="00752929"/>
    <w:rsid w:val="00777C4F"/>
    <w:rsid w:val="007A309E"/>
    <w:rsid w:val="007A7F2D"/>
    <w:rsid w:val="007B4F44"/>
    <w:rsid w:val="007E0420"/>
    <w:rsid w:val="007F1175"/>
    <w:rsid w:val="00812524"/>
    <w:rsid w:val="00824E63"/>
    <w:rsid w:val="00826BBB"/>
    <w:rsid w:val="0083184B"/>
    <w:rsid w:val="00837EA2"/>
    <w:rsid w:val="00843765"/>
    <w:rsid w:val="00864697"/>
    <w:rsid w:val="00872552"/>
    <w:rsid w:val="00877AAE"/>
    <w:rsid w:val="00885C26"/>
    <w:rsid w:val="00893BFD"/>
    <w:rsid w:val="008C0E2C"/>
    <w:rsid w:val="008C354D"/>
    <w:rsid w:val="008D6C35"/>
    <w:rsid w:val="008F13BC"/>
    <w:rsid w:val="00967B35"/>
    <w:rsid w:val="009753FC"/>
    <w:rsid w:val="00993C75"/>
    <w:rsid w:val="009A0BC7"/>
    <w:rsid w:val="009B5639"/>
    <w:rsid w:val="009C1174"/>
    <w:rsid w:val="009C2320"/>
    <w:rsid w:val="00A03372"/>
    <w:rsid w:val="00A11E89"/>
    <w:rsid w:val="00A22009"/>
    <w:rsid w:val="00A26B1D"/>
    <w:rsid w:val="00A4743F"/>
    <w:rsid w:val="00A91BF6"/>
    <w:rsid w:val="00AE0402"/>
    <w:rsid w:val="00AE560D"/>
    <w:rsid w:val="00B0297A"/>
    <w:rsid w:val="00B042D5"/>
    <w:rsid w:val="00B1328E"/>
    <w:rsid w:val="00B46AD2"/>
    <w:rsid w:val="00B57528"/>
    <w:rsid w:val="00B61A10"/>
    <w:rsid w:val="00BD6726"/>
    <w:rsid w:val="00BE1FA1"/>
    <w:rsid w:val="00BF6B61"/>
    <w:rsid w:val="00C12613"/>
    <w:rsid w:val="00C24C1E"/>
    <w:rsid w:val="00C31356"/>
    <w:rsid w:val="00C33D32"/>
    <w:rsid w:val="00C42544"/>
    <w:rsid w:val="00C63580"/>
    <w:rsid w:val="00C7134F"/>
    <w:rsid w:val="00C72CE0"/>
    <w:rsid w:val="00C76C74"/>
    <w:rsid w:val="00C80965"/>
    <w:rsid w:val="00C87B7A"/>
    <w:rsid w:val="00C9145B"/>
    <w:rsid w:val="00CA00B1"/>
    <w:rsid w:val="00CB1721"/>
    <w:rsid w:val="00CB7125"/>
    <w:rsid w:val="00CB72C3"/>
    <w:rsid w:val="00CD2F36"/>
    <w:rsid w:val="00CE04E0"/>
    <w:rsid w:val="00D01F73"/>
    <w:rsid w:val="00D15A56"/>
    <w:rsid w:val="00D415D0"/>
    <w:rsid w:val="00D56A3B"/>
    <w:rsid w:val="00D6489A"/>
    <w:rsid w:val="00D9760A"/>
    <w:rsid w:val="00DB466C"/>
    <w:rsid w:val="00DB7F16"/>
    <w:rsid w:val="00DC4B86"/>
    <w:rsid w:val="00DD14AA"/>
    <w:rsid w:val="00DE0B69"/>
    <w:rsid w:val="00DE2C62"/>
    <w:rsid w:val="00DF6D55"/>
    <w:rsid w:val="00E45184"/>
    <w:rsid w:val="00E540A6"/>
    <w:rsid w:val="00E75ACF"/>
    <w:rsid w:val="00E8230A"/>
    <w:rsid w:val="00E96808"/>
    <w:rsid w:val="00EB31D5"/>
    <w:rsid w:val="00EB386F"/>
    <w:rsid w:val="00ED451C"/>
    <w:rsid w:val="00F024DF"/>
    <w:rsid w:val="00F14C19"/>
    <w:rsid w:val="00F1604D"/>
    <w:rsid w:val="00F26F79"/>
    <w:rsid w:val="00F42478"/>
    <w:rsid w:val="00F426B0"/>
    <w:rsid w:val="00F45A2B"/>
    <w:rsid w:val="00F60840"/>
    <w:rsid w:val="00F72D2A"/>
    <w:rsid w:val="00F76251"/>
    <w:rsid w:val="00F96021"/>
    <w:rsid w:val="00FA5636"/>
    <w:rsid w:val="00FB7878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36CB5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8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46D1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F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0710-0CD5-484B-BD60-86A5E716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Rogers</dc:creator>
  <cp:lastModifiedBy>Kathryn Humphreys</cp:lastModifiedBy>
  <cp:revision>13</cp:revision>
  <cp:lastPrinted>2022-05-12T14:03:00Z</cp:lastPrinted>
  <dcterms:created xsi:type="dcterms:W3CDTF">2023-07-20T11:03:00Z</dcterms:created>
  <dcterms:modified xsi:type="dcterms:W3CDTF">2023-07-20T12:01:00Z</dcterms:modified>
</cp:coreProperties>
</file>