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89" w:type="dxa"/>
        <w:tblInd w:w="-715" w:type="dxa"/>
        <w:tblCellMar>
          <w:top w:w="45" w:type="dxa"/>
          <w:left w:w="108" w:type="dxa"/>
          <w:right w:w="63" w:type="dxa"/>
        </w:tblCellMar>
        <w:tblLook w:val="04A0" w:firstRow="1" w:lastRow="0" w:firstColumn="1" w:lastColumn="0" w:noHBand="0" w:noVBand="1"/>
      </w:tblPr>
      <w:tblGrid>
        <w:gridCol w:w="2525"/>
        <w:gridCol w:w="1872"/>
        <w:gridCol w:w="2196"/>
        <w:gridCol w:w="2198"/>
        <w:gridCol w:w="2196"/>
        <w:gridCol w:w="2201"/>
        <w:gridCol w:w="2201"/>
      </w:tblGrid>
      <w:tr w:rsidR="007253D6" w:rsidTr="00945F3C">
        <w:trPr>
          <w:trHeight w:val="281"/>
        </w:trPr>
        <w:tc>
          <w:tcPr>
            <w:tcW w:w="15389" w:type="dxa"/>
            <w:gridSpan w:val="7"/>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ind w:right="45"/>
              <w:jc w:val="center"/>
              <w:rPr>
                <w:rFonts w:ascii="Arial" w:hAnsi="Arial" w:cs="Arial"/>
                <w:sz w:val="18"/>
                <w:szCs w:val="18"/>
              </w:rPr>
            </w:pPr>
            <w:r w:rsidRPr="007253D6">
              <w:rPr>
                <w:rFonts w:ascii="Arial" w:eastAsia="Century Gothic" w:hAnsi="Arial" w:cs="Arial"/>
                <w:b/>
                <w:sz w:val="18"/>
                <w:szCs w:val="18"/>
              </w:rPr>
              <w:t xml:space="preserve">Year 8 - PSHE </w:t>
            </w:r>
          </w:p>
        </w:tc>
      </w:tr>
      <w:tr w:rsidR="007253D6" w:rsidTr="00945F3C">
        <w:trPr>
          <w:trHeight w:val="1303"/>
        </w:trPr>
        <w:tc>
          <w:tcPr>
            <w:tcW w:w="2525"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b/>
                <w:sz w:val="18"/>
                <w:szCs w:val="18"/>
              </w:rPr>
              <w:t xml:space="preserve">Curriculum intent </w:t>
            </w:r>
          </w:p>
        </w:tc>
        <w:tc>
          <w:tcPr>
            <w:tcW w:w="12864" w:type="dxa"/>
            <w:gridSpan w:val="6"/>
            <w:tcBorders>
              <w:top w:val="single" w:sz="4" w:space="0" w:color="000000"/>
              <w:left w:val="single" w:sz="4" w:space="0" w:color="000000"/>
              <w:bottom w:val="single" w:sz="4" w:space="0" w:color="000000"/>
              <w:right w:val="single" w:sz="4" w:space="0" w:color="000000"/>
            </w:tcBorders>
            <w:vAlign w:val="bottom"/>
          </w:tcPr>
          <w:p w:rsidR="007253D6" w:rsidRPr="007253D6" w:rsidRDefault="007253D6" w:rsidP="00945F3C">
            <w:pPr>
              <w:spacing w:after="181" w:line="238" w:lineRule="auto"/>
              <w:rPr>
                <w:rFonts w:ascii="Arial" w:hAnsi="Arial" w:cs="Arial"/>
                <w:sz w:val="18"/>
                <w:szCs w:val="18"/>
              </w:rPr>
            </w:pPr>
            <w:r w:rsidRPr="007253D6">
              <w:rPr>
                <w:rFonts w:ascii="Arial" w:eastAsia="Century Gothic" w:hAnsi="Arial" w:cs="Arial"/>
                <w:sz w:val="18"/>
                <w:szCs w:val="18"/>
              </w:rPr>
              <w:t xml:space="preserve">The Year 8 PSHE curriculum has been designed to be delivered in a sequence that allows for connection making and has become more complex and age-specific through the progression of units throughout the academic year. All substantive knowledge to be delivered is taken directly from the RSHE statutory guidance document. Each one of the PSHE topics becomes a thread of knowledge building throughout this entire secondary curriculum. There are clear links across topics, which are highlighted on the Learning Journey for PSHE.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w:t>
            </w:r>
          </w:p>
        </w:tc>
      </w:tr>
      <w:tr w:rsidR="007253D6" w:rsidTr="00945F3C">
        <w:trPr>
          <w:trHeight w:val="281"/>
        </w:trPr>
        <w:tc>
          <w:tcPr>
            <w:tcW w:w="2525"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b/>
                <w:sz w:val="18"/>
                <w:szCs w:val="18"/>
              </w:rPr>
              <w:t xml:space="preserve">Term </w:t>
            </w:r>
          </w:p>
        </w:tc>
        <w:tc>
          <w:tcPr>
            <w:tcW w:w="1872" w:type="dxa"/>
            <w:tcBorders>
              <w:top w:val="single" w:sz="4" w:space="0" w:color="000000"/>
              <w:left w:val="single" w:sz="4" w:space="0" w:color="000000"/>
              <w:bottom w:val="single" w:sz="4" w:space="0" w:color="000000"/>
              <w:right w:val="single" w:sz="4" w:space="0" w:color="000000"/>
            </w:tcBorders>
          </w:tcPr>
          <w:p w:rsidR="007253D6" w:rsidRPr="007253D6" w:rsidRDefault="007253D6" w:rsidP="007253D6">
            <w:pPr>
              <w:jc w:val="center"/>
              <w:rPr>
                <w:rFonts w:ascii="Arial" w:hAnsi="Arial" w:cs="Arial"/>
                <w:sz w:val="18"/>
                <w:szCs w:val="18"/>
              </w:rPr>
            </w:pPr>
            <w:r w:rsidRPr="007253D6">
              <w:rPr>
                <w:rFonts w:ascii="Arial" w:eastAsia="Century Gothic" w:hAnsi="Arial" w:cs="Arial"/>
                <w:b/>
                <w:sz w:val="18"/>
                <w:szCs w:val="18"/>
              </w:rPr>
              <w:t>Autumn 1</w:t>
            </w:r>
          </w:p>
        </w:tc>
        <w:tc>
          <w:tcPr>
            <w:tcW w:w="2196" w:type="dxa"/>
            <w:tcBorders>
              <w:top w:val="single" w:sz="4" w:space="0" w:color="000000"/>
              <w:left w:val="single" w:sz="4" w:space="0" w:color="000000"/>
              <w:bottom w:val="single" w:sz="4" w:space="0" w:color="000000"/>
              <w:right w:val="single" w:sz="4" w:space="0" w:color="000000"/>
            </w:tcBorders>
          </w:tcPr>
          <w:p w:rsidR="007253D6" w:rsidRPr="007253D6" w:rsidRDefault="007253D6" w:rsidP="007253D6">
            <w:pPr>
              <w:jc w:val="center"/>
              <w:rPr>
                <w:rFonts w:ascii="Arial" w:hAnsi="Arial" w:cs="Arial"/>
                <w:sz w:val="18"/>
                <w:szCs w:val="18"/>
              </w:rPr>
            </w:pPr>
            <w:r w:rsidRPr="007253D6">
              <w:rPr>
                <w:rFonts w:ascii="Arial" w:eastAsia="Century Gothic" w:hAnsi="Arial" w:cs="Arial"/>
                <w:b/>
                <w:sz w:val="18"/>
                <w:szCs w:val="18"/>
              </w:rPr>
              <w:t>Autumn 2</w:t>
            </w:r>
          </w:p>
        </w:tc>
        <w:tc>
          <w:tcPr>
            <w:tcW w:w="2198" w:type="dxa"/>
            <w:tcBorders>
              <w:top w:val="single" w:sz="4" w:space="0" w:color="000000"/>
              <w:left w:val="single" w:sz="4" w:space="0" w:color="000000"/>
              <w:bottom w:val="single" w:sz="4" w:space="0" w:color="000000"/>
              <w:right w:val="single" w:sz="4" w:space="0" w:color="000000"/>
            </w:tcBorders>
          </w:tcPr>
          <w:p w:rsidR="007253D6" w:rsidRPr="007253D6" w:rsidRDefault="007253D6" w:rsidP="007253D6">
            <w:pPr>
              <w:jc w:val="center"/>
              <w:rPr>
                <w:rFonts w:ascii="Arial" w:hAnsi="Arial" w:cs="Arial"/>
                <w:sz w:val="18"/>
                <w:szCs w:val="18"/>
              </w:rPr>
            </w:pPr>
            <w:r w:rsidRPr="007253D6">
              <w:rPr>
                <w:rFonts w:ascii="Arial" w:eastAsia="Century Gothic" w:hAnsi="Arial" w:cs="Arial"/>
                <w:b/>
                <w:sz w:val="18"/>
                <w:szCs w:val="18"/>
              </w:rPr>
              <w:t>Spring 1</w:t>
            </w:r>
          </w:p>
        </w:tc>
        <w:tc>
          <w:tcPr>
            <w:tcW w:w="2196" w:type="dxa"/>
            <w:tcBorders>
              <w:top w:val="single" w:sz="4" w:space="0" w:color="000000"/>
              <w:left w:val="single" w:sz="4" w:space="0" w:color="000000"/>
              <w:bottom w:val="single" w:sz="4" w:space="0" w:color="000000"/>
              <w:right w:val="single" w:sz="4" w:space="0" w:color="000000"/>
            </w:tcBorders>
          </w:tcPr>
          <w:p w:rsidR="007253D6" w:rsidRPr="007253D6" w:rsidRDefault="007253D6" w:rsidP="007253D6">
            <w:pPr>
              <w:jc w:val="center"/>
              <w:rPr>
                <w:rFonts w:ascii="Arial" w:hAnsi="Arial" w:cs="Arial"/>
                <w:sz w:val="18"/>
                <w:szCs w:val="18"/>
              </w:rPr>
            </w:pPr>
            <w:r w:rsidRPr="007253D6">
              <w:rPr>
                <w:rFonts w:ascii="Arial" w:eastAsia="Century Gothic" w:hAnsi="Arial" w:cs="Arial"/>
                <w:b/>
                <w:sz w:val="18"/>
                <w:szCs w:val="18"/>
              </w:rPr>
              <w:t>Spring 2</w:t>
            </w:r>
          </w:p>
        </w:tc>
        <w:tc>
          <w:tcPr>
            <w:tcW w:w="2201" w:type="dxa"/>
            <w:tcBorders>
              <w:top w:val="single" w:sz="4" w:space="0" w:color="000000"/>
              <w:left w:val="single" w:sz="4" w:space="0" w:color="000000"/>
              <w:bottom w:val="single" w:sz="4" w:space="0" w:color="000000"/>
              <w:right w:val="single" w:sz="4" w:space="0" w:color="000000"/>
            </w:tcBorders>
          </w:tcPr>
          <w:p w:rsidR="007253D6" w:rsidRPr="007253D6" w:rsidRDefault="007253D6" w:rsidP="007253D6">
            <w:pPr>
              <w:jc w:val="center"/>
              <w:rPr>
                <w:rFonts w:ascii="Arial" w:hAnsi="Arial" w:cs="Arial"/>
                <w:sz w:val="18"/>
                <w:szCs w:val="18"/>
              </w:rPr>
            </w:pPr>
            <w:r w:rsidRPr="007253D6">
              <w:rPr>
                <w:rFonts w:ascii="Arial" w:eastAsia="Century Gothic" w:hAnsi="Arial" w:cs="Arial"/>
                <w:b/>
                <w:sz w:val="18"/>
                <w:szCs w:val="18"/>
              </w:rPr>
              <w:t>Summer 1</w:t>
            </w:r>
          </w:p>
        </w:tc>
        <w:tc>
          <w:tcPr>
            <w:tcW w:w="2201" w:type="dxa"/>
            <w:tcBorders>
              <w:top w:val="single" w:sz="4" w:space="0" w:color="000000"/>
              <w:left w:val="single" w:sz="4" w:space="0" w:color="000000"/>
              <w:bottom w:val="single" w:sz="4" w:space="0" w:color="000000"/>
              <w:right w:val="single" w:sz="4" w:space="0" w:color="000000"/>
            </w:tcBorders>
          </w:tcPr>
          <w:p w:rsidR="007253D6" w:rsidRPr="007253D6" w:rsidRDefault="007253D6" w:rsidP="007253D6">
            <w:pPr>
              <w:jc w:val="center"/>
              <w:rPr>
                <w:rFonts w:ascii="Arial" w:hAnsi="Arial" w:cs="Arial"/>
                <w:sz w:val="18"/>
                <w:szCs w:val="18"/>
              </w:rPr>
            </w:pPr>
            <w:r w:rsidRPr="007253D6">
              <w:rPr>
                <w:rFonts w:ascii="Arial" w:eastAsia="Century Gothic" w:hAnsi="Arial" w:cs="Arial"/>
                <w:b/>
                <w:sz w:val="18"/>
                <w:szCs w:val="18"/>
              </w:rPr>
              <w:t>Summer 2</w:t>
            </w:r>
          </w:p>
        </w:tc>
      </w:tr>
      <w:tr w:rsidR="007253D6" w:rsidTr="00945F3C">
        <w:trPr>
          <w:trHeight w:val="3566"/>
        </w:trPr>
        <w:tc>
          <w:tcPr>
            <w:tcW w:w="2525"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b/>
                <w:sz w:val="18"/>
                <w:szCs w:val="18"/>
              </w:rPr>
              <w:t xml:space="preserve">Knowledge </w:t>
            </w:r>
          </w:p>
        </w:tc>
        <w:tc>
          <w:tcPr>
            <w:tcW w:w="1872"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spacing w:line="238" w:lineRule="auto"/>
              <w:rPr>
                <w:rFonts w:ascii="Arial" w:hAnsi="Arial" w:cs="Arial"/>
                <w:sz w:val="18"/>
                <w:szCs w:val="18"/>
              </w:rPr>
            </w:pPr>
            <w:r w:rsidRPr="007253D6">
              <w:rPr>
                <w:rFonts w:ascii="Arial" w:eastAsia="Century Gothic" w:hAnsi="Arial" w:cs="Arial"/>
                <w:b/>
                <w:sz w:val="18"/>
                <w:szCs w:val="18"/>
              </w:rPr>
              <w:t xml:space="preserve">Families: Stable relationships and marriage. </w:t>
            </w:r>
          </w:p>
          <w:p w:rsidR="007253D6" w:rsidRPr="007253D6" w:rsidRDefault="007253D6" w:rsidP="007253D6">
            <w:pPr>
              <w:numPr>
                <w:ilvl w:val="0"/>
                <w:numId w:val="1"/>
              </w:numPr>
              <w:spacing w:line="259" w:lineRule="auto"/>
              <w:ind w:hanging="142"/>
              <w:rPr>
                <w:rFonts w:ascii="Arial" w:hAnsi="Arial" w:cs="Arial"/>
                <w:sz w:val="18"/>
                <w:szCs w:val="18"/>
              </w:rPr>
            </w:pPr>
            <w:r w:rsidRPr="007253D6">
              <w:rPr>
                <w:rFonts w:ascii="Arial" w:eastAsia="Century Gothic" w:hAnsi="Arial" w:cs="Arial"/>
                <w:sz w:val="18"/>
                <w:szCs w:val="18"/>
              </w:rPr>
              <w:t xml:space="preserve">What is marriage? </w:t>
            </w:r>
          </w:p>
          <w:p w:rsidR="007253D6" w:rsidRPr="007253D6" w:rsidRDefault="007253D6" w:rsidP="007253D6">
            <w:pPr>
              <w:numPr>
                <w:ilvl w:val="0"/>
                <w:numId w:val="1"/>
              </w:numPr>
              <w:spacing w:line="259" w:lineRule="auto"/>
              <w:ind w:hanging="142"/>
              <w:rPr>
                <w:rFonts w:ascii="Arial" w:hAnsi="Arial" w:cs="Arial"/>
                <w:sz w:val="18"/>
                <w:szCs w:val="18"/>
              </w:rPr>
            </w:pPr>
            <w:r w:rsidRPr="007253D6">
              <w:rPr>
                <w:rFonts w:ascii="Arial" w:eastAsia="Century Gothic" w:hAnsi="Arial" w:cs="Arial"/>
                <w:sz w:val="18"/>
                <w:szCs w:val="18"/>
              </w:rPr>
              <w:t xml:space="preserve">Cohabiting couples. </w:t>
            </w:r>
          </w:p>
          <w:p w:rsidR="007253D6" w:rsidRPr="007253D6" w:rsidRDefault="007253D6" w:rsidP="007253D6">
            <w:pPr>
              <w:numPr>
                <w:ilvl w:val="0"/>
                <w:numId w:val="1"/>
              </w:numPr>
              <w:spacing w:after="3" w:line="239" w:lineRule="auto"/>
              <w:ind w:hanging="142"/>
              <w:rPr>
                <w:rFonts w:ascii="Arial" w:hAnsi="Arial" w:cs="Arial"/>
                <w:sz w:val="18"/>
                <w:szCs w:val="18"/>
              </w:rPr>
            </w:pPr>
            <w:r w:rsidRPr="007253D6">
              <w:rPr>
                <w:rFonts w:ascii="Arial" w:eastAsia="Century Gothic" w:hAnsi="Arial" w:cs="Arial"/>
                <w:sz w:val="18"/>
                <w:szCs w:val="18"/>
              </w:rPr>
              <w:t xml:space="preserve">Marriage as a choice. </w:t>
            </w:r>
          </w:p>
          <w:p w:rsidR="007253D6" w:rsidRPr="007253D6" w:rsidRDefault="007253D6" w:rsidP="007253D6">
            <w:pPr>
              <w:numPr>
                <w:ilvl w:val="0"/>
                <w:numId w:val="1"/>
              </w:numPr>
              <w:spacing w:line="236" w:lineRule="auto"/>
              <w:ind w:hanging="142"/>
              <w:rPr>
                <w:rFonts w:ascii="Arial" w:hAnsi="Arial" w:cs="Arial"/>
                <w:sz w:val="18"/>
                <w:szCs w:val="18"/>
              </w:rPr>
            </w:pPr>
            <w:r w:rsidRPr="007253D6">
              <w:rPr>
                <w:rFonts w:ascii="Arial" w:eastAsia="Century Gothic" w:hAnsi="Arial" w:cs="Arial"/>
                <w:sz w:val="18"/>
                <w:szCs w:val="18"/>
              </w:rPr>
              <w:t xml:space="preserve">Parenting roles. </w:t>
            </w:r>
            <w:r w:rsidRPr="007253D6">
              <w:rPr>
                <w:rFonts w:ascii="Arial" w:eastAsia="Century Gothic" w:hAnsi="Arial" w:cs="Arial"/>
                <w:b/>
                <w:sz w:val="18"/>
                <w:szCs w:val="18"/>
              </w:rPr>
              <w:t xml:space="preserve">Respectful relationships: Bullying. </w:t>
            </w:r>
          </w:p>
          <w:p w:rsidR="007253D6" w:rsidRPr="007253D6" w:rsidRDefault="007253D6" w:rsidP="007253D6">
            <w:pPr>
              <w:numPr>
                <w:ilvl w:val="0"/>
                <w:numId w:val="1"/>
              </w:numPr>
              <w:spacing w:line="259" w:lineRule="auto"/>
              <w:ind w:hanging="142"/>
              <w:rPr>
                <w:rFonts w:ascii="Arial" w:hAnsi="Arial" w:cs="Arial"/>
                <w:sz w:val="18"/>
                <w:szCs w:val="18"/>
              </w:rPr>
            </w:pPr>
            <w:r w:rsidRPr="007253D6">
              <w:rPr>
                <w:rFonts w:ascii="Arial" w:eastAsia="Century Gothic" w:hAnsi="Arial" w:cs="Arial"/>
                <w:sz w:val="18"/>
                <w:szCs w:val="18"/>
              </w:rPr>
              <w:t xml:space="preserve">Types of bullying. </w:t>
            </w:r>
          </w:p>
          <w:p w:rsidR="007253D6" w:rsidRPr="007253D6" w:rsidRDefault="007253D6" w:rsidP="007253D6">
            <w:pPr>
              <w:numPr>
                <w:ilvl w:val="0"/>
                <w:numId w:val="1"/>
              </w:numPr>
              <w:spacing w:line="259" w:lineRule="auto"/>
              <w:ind w:hanging="142"/>
              <w:rPr>
                <w:rFonts w:ascii="Arial" w:hAnsi="Arial" w:cs="Arial"/>
                <w:sz w:val="18"/>
                <w:szCs w:val="18"/>
              </w:rPr>
            </w:pPr>
            <w:r w:rsidRPr="007253D6">
              <w:rPr>
                <w:rFonts w:ascii="Arial" w:eastAsia="Century Gothic" w:hAnsi="Arial" w:cs="Arial"/>
                <w:sz w:val="18"/>
                <w:szCs w:val="18"/>
              </w:rPr>
              <w:t xml:space="preserve">The impact of bullying. </w:t>
            </w:r>
          </w:p>
        </w:tc>
        <w:tc>
          <w:tcPr>
            <w:tcW w:w="2196"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spacing w:line="236" w:lineRule="auto"/>
              <w:rPr>
                <w:rFonts w:ascii="Arial" w:hAnsi="Arial" w:cs="Arial"/>
                <w:sz w:val="18"/>
                <w:szCs w:val="18"/>
              </w:rPr>
            </w:pPr>
            <w:r w:rsidRPr="007253D6">
              <w:rPr>
                <w:rFonts w:ascii="Arial" w:eastAsia="Century Gothic" w:hAnsi="Arial" w:cs="Arial"/>
                <w:b/>
                <w:sz w:val="18"/>
                <w:szCs w:val="18"/>
              </w:rPr>
              <w:t xml:space="preserve">Respectful relationships: Stereotypes: </w:t>
            </w:r>
          </w:p>
          <w:p w:rsidR="007253D6" w:rsidRPr="007253D6" w:rsidRDefault="007253D6" w:rsidP="007253D6">
            <w:pPr>
              <w:numPr>
                <w:ilvl w:val="0"/>
                <w:numId w:val="2"/>
              </w:numPr>
              <w:spacing w:line="242" w:lineRule="auto"/>
              <w:ind w:right="15" w:hanging="142"/>
              <w:rPr>
                <w:rFonts w:ascii="Arial" w:hAnsi="Arial" w:cs="Arial"/>
                <w:sz w:val="18"/>
                <w:szCs w:val="18"/>
              </w:rPr>
            </w:pPr>
            <w:r w:rsidRPr="007253D6">
              <w:rPr>
                <w:rFonts w:ascii="Arial" w:eastAsia="Century Gothic" w:hAnsi="Arial" w:cs="Arial"/>
                <w:sz w:val="18"/>
                <w:szCs w:val="18"/>
              </w:rPr>
              <w:t xml:space="preserve">How stereotypes encourage prejudice. </w:t>
            </w:r>
          </w:p>
          <w:p w:rsidR="007253D6" w:rsidRPr="007253D6" w:rsidRDefault="007253D6" w:rsidP="007253D6">
            <w:pPr>
              <w:numPr>
                <w:ilvl w:val="0"/>
                <w:numId w:val="2"/>
              </w:numPr>
              <w:spacing w:line="259" w:lineRule="auto"/>
              <w:ind w:right="15" w:hanging="142"/>
              <w:rPr>
                <w:rFonts w:ascii="Arial" w:hAnsi="Arial" w:cs="Arial"/>
                <w:sz w:val="18"/>
                <w:szCs w:val="18"/>
              </w:rPr>
            </w:pPr>
            <w:r w:rsidRPr="007253D6">
              <w:rPr>
                <w:rFonts w:ascii="Arial" w:eastAsia="Century Gothic" w:hAnsi="Arial" w:cs="Arial"/>
                <w:sz w:val="18"/>
                <w:szCs w:val="18"/>
              </w:rPr>
              <w:t xml:space="preserve">Unlawful discrimination. </w:t>
            </w:r>
          </w:p>
          <w:p w:rsidR="007253D6" w:rsidRPr="007253D6" w:rsidRDefault="007253D6" w:rsidP="007253D6">
            <w:pPr>
              <w:numPr>
                <w:ilvl w:val="0"/>
                <w:numId w:val="2"/>
              </w:numPr>
              <w:spacing w:after="3" w:line="239" w:lineRule="auto"/>
              <w:ind w:right="15" w:hanging="142"/>
              <w:rPr>
                <w:rFonts w:ascii="Arial" w:hAnsi="Arial" w:cs="Arial"/>
                <w:sz w:val="18"/>
                <w:szCs w:val="18"/>
              </w:rPr>
            </w:pPr>
            <w:r w:rsidRPr="007253D6">
              <w:rPr>
                <w:rFonts w:ascii="Arial" w:eastAsia="Century Gothic" w:hAnsi="Arial" w:cs="Arial"/>
                <w:sz w:val="18"/>
                <w:szCs w:val="18"/>
              </w:rPr>
              <w:t xml:space="preserve">Respect and acceptance. </w:t>
            </w:r>
          </w:p>
          <w:p w:rsidR="007253D6" w:rsidRPr="00002703" w:rsidRDefault="007253D6" w:rsidP="007253D6">
            <w:pPr>
              <w:numPr>
                <w:ilvl w:val="0"/>
                <w:numId w:val="2"/>
              </w:numPr>
              <w:spacing w:line="259" w:lineRule="auto"/>
              <w:ind w:right="15" w:hanging="142"/>
              <w:rPr>
                <w:rFonts w:ascii="Arial" w:hAnsi="Arial" w:cs="Arial"/>
                <w:sz w:val="18"/>
                <w:szCs w:val="18"/>
              </w:rPr>
            </w:pPr>
            <w:r w:rsidRPr="007253D6">
              <w:rPr>
                <w:rFonts w:ascii="Arial" w:eastAsia="Century Gothic" w:hAnsi="Arial" w:cs="Arial"/>
                <w:sz w:val="18"/>
                <w:szCs w:val="18"/>
              </w:rPr>
              <w:t xml:space="preserve">Help for victims of stereotyping and bullying. </w:t>
            </w:r>
          </w:p>
          <w:p w:rsidR="00002703" w:rsidRDefault="00002703" w:rsidP="00002703">
            <w:pPr>
              <w:spacing w:line="259" w:lineRule="auto"/>
              <w:ind w:right="15"/>
              <w:rPr>
                <w:rFonts w:ascii="Arial" w:hAnsi="Arial" w:cs="Arial"/>
                <w:sz w:val="18"/>
                <w:szCs w:val="18"/>
              </w:rPr>
            </w:pPr>
          </w:p>
          <w:p w:rsidR="00002703" w:rsidRPr="007253D6" w:rsidRDefault="00002703" w:rsidP="00002703">
            <w:pPr>
              <w:rPr>
                <w:rFonts w:ascii="Arial" w:hAnsi="Arial" w:cs="Arial"/>
                <w:sz w:val="18"/>
                <w:szCs w:val="18"/>
              </w:rPr>
            </w:pPr>
            <w:r w:rsidRPr="007253D6">
              <w:rPr>
                <w:rFonts w:ascii="Arial" w:eastAsia="Century Gothic" w:hAnsi="Arial" w:cs="Arial"/>
                <w:b/>
                <w:sz w:val="18"/>
                <w:szCs w:val="18"/>
              </w:rPr>
              <w:t xml:space="preserve">CEIAG: </w:t>
            </w:r>
          </w:p>
          <w:p w:rsidR="00002703" w:rsidRPr="007253D6" w:rsidRDefault="00002703" w:rsidP="00002703">
            <w:pPr>
              <w:numPr>
                <w:ilvl w:val="0"/>
                <w:numId w:val="4"/>
              </w:numPr>
              <w:spacing w:line="242" w:lineRule="auto"/>
              <w:ind w:hanging="142"/>
              <w:rPr>
                <w:rFonts w:ascii="Arial" w:hAnsi="Arial" w:cs="Arial"/>
                <w:sz w:val="18"/>
                <w:szCs w:val="18"/>
              </w:rPr>
            </w:pPr>
            <w:r w:rsidRPr="007253D6">
              <w:rPr>
                <w:rFonts w:ascii="Arial" w:eastAsia="Century Gothic" w:hAnsi="Arial" w:cs="Arial"/>
                <w:sz w:val="18"/>
                <w:szCs w:val="18"/>
              </w:rPr>
              <w:t xml:space="preserve">Discovering learning pathways. </w:t>
            </w:r>
          </w:p>
          <w:p w:rsidR="00002703" w:rsidRPr="007253D6" w:rsidRDefault="00002703" w:rsidP="00002703">
            <w:pPr>
              <w:spacing w:line="259" w:lineRule="auto"/>
              <w:ind w:right="15"/>
              <w:rPr>
                <w:rFonts w:ascii="Arial" w:hAnsi="Arial" w:cs="Arial"/>
                <w:sz w:val="18"/>
                <w:szCs w:val="18"/>
              </w:rPr>
            </w:pPr>
            <w:r w:rsidRPr="007253D6">
              <w:rPr>
                <w:rFonts w:ascii="Arial" w:eastAsia="Century Gothic" w:hAnsi="Arial" w:cs="Arial"/>
                <w:sz w:val="18"/>
                <w:szCs w:val="18"/>
              </w:rPr>
              <w:t>Biases and career choices.</w:t>
            </w:r>
          </w:p>
        </w:tc>
        <w:tc>
          <w:tcPr>
            <w:tcW w:w="2198"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spacing w:line="236" w:lineRule="auto"/>
              <w:jc w:val="both"/>
              <w:rPr>
                <w:rFonts w:ascii="Arial" w:hAnsi="Arial" w:cs="Arial"/>
                <w:sz w:val="18"/>
                <w:szCs w:val="18"/>
              </w:rPr>
            </w:pPr>
            <w:r w:rsidRPr="007253D6">
              <w:rPr>
                <w:rFonts w:ascii="Arial" w:eastAsia="Century Gothic" w:hAnsi="Arial" w:cs="Arial"/>
                <w:b/>
                <w:sz w:val="18"/>
                <w:szCs w:val="18"/>
              </w:rPr>
              <w:t xml:space="preserve">Online and Media: Risks of the unknown online. </w:t>
            </w:r>
          </w:p>
          <w:p w:rsidR="007253D6" w:rsidRPr="007253D6" w:rsidRDefault="007253D6" w:rsidP="007253D6">
            <w:pPr>
              <w:numPr>
                <w:ilvl w:val="0"/>
                <w:numId w:val="3"/>
              </w:numPr>
              <w:spacing w:line="259" w:lineRule="auto"/>
              <w:ind w:hanging="142"/>
              <w:rPr>
                <w:rFonts w:ascii="Arial" w:hAnsi="Arial" w:cs="Arial"/>
                <w:sz w:val="18"/>
                <w:szCs w:val="18"/>
              </w:rPr>
            </w:pPr>
            <w:r w:rsidRPr="007253D6">
              <w:rPr>
                <w:rFonts w:ascii="Arial" w:eastAsia="Century Gothic" w:hAnsi="Arial" w:cs="Arial"/>
                <w:sz w:val="18"/>
                <w:szCs w:val="18"/>
              </w:rPr>
              <w:t xml:space="preserve">Online risks. </w:t>
            </w:r>
          </w:p>
          <w:p w:rsidR="007253D6" w:rsidRPr="007253D6" w:rsidRDefault="007253D6" w:rsidP="007253D6">
            <w:pPr>
              <w:numPr>
                <w:ilvl w:val="0"/>
                <w:numId w:val="3"/>
              </w:numPr>
              <w:spacing w:after="3" w:line="239" w:lineRule="auto"/>
              <w:ind w:hanging="142"/>
              <w:rPr>
                <w:rFonts w:ascii="Arial" w:hAnsi="Arial" w:cs="Arial"/>
                <w:sz w:val="18"/>
                <w:szCs w:val="18"/>
              </w:rPr>
            </w:pPr>
            <w:r w:rsidRPr="007253D6">
              <w:rPr>
                <w:rFonts w:ascii="Arial" w:eastAsia="Century Gothic" w:hAnsi="Arial" w:cs="Arial"/>
                <w:sz w:val="18"/>
                <w:szCs w:val="18"/>
              </w:rPr>
              <w:t xml:space="preserve">Sharing and removing material online. </w:t>
            </w:r>
          </w:p>
          <w:p w:rsidR="007253D6" w:rsidRPr="007253D6" w:rsidRDefault="007253D6" w:rsidP="007253D6">
            <w:pPr>
              <w:numPr>
                <w:ilvl w:val="0"/>
                <w:numId w:val="3"/>
              </w:numPr>
              <w:spacing w:after="22" w:line="239" w:lineRule="auto"/>
              <w:ind w:hanging="142"/>
              <w:rPr>
                <w:rFonts w:ascii="Arial" w:hAnsi="Arial" w:cs="Arial"/>
                <w:sz w:val="18"/>
                <w:szCs w:val="18"/>
              </w:rPr>
            </w:pPr>
            <w:r w:rsidRPr="007253D6">
              <w:rPr>
                <w:rFonts w:ascii="Arial" w:eastAsia="Century Gothic" w:hAnsi="Arial" w:cs="Arial"/>
                <w:sz w:val="18"/>
                <w:szCs w:val="18"/>
              </w:rPr>
              <w:t xml:space="preserve">Risks of unknown people online. </w:t>
            </w:r>
          </w:p>
          <w:p w:rsidR="007253D6" w:rsidRPr="007253D6" w:rsidRDefault="007253D6" w:rsidP="00945F3C">
            <w:pPr>
              <w:rPr>
                <w:rFonts w:ascii="Arial" w:hAnsi="Arial" w:cs="Arial"/>
                <w:sz w:val="18"/>
                <w:szCs w:val="18"/>
              </w:rPr>
            </w:pPr>
            <w:r w:rsidRPr="007253D6">
              <w:rPr>
                <w:rFonts w:ascii="Arial" w:eastAsia="Century Gothic" w:hAnsi="Arial" w:cs="Arial"/>
                <w:b/>
                <w:sz w:val="18"/>
                <w:szCs w:val="18"/>
              </w:rPr>
              <w:t xml:space="preserve">Mental Wellbeing: </w:t>
            </w:r>
          </w:p>
          <w:p w:rsidR="007253D6" w:rsidRPr="007253D6" w:rsidRDefault="007253D6" w:rsidP="00945F3C">
            <w:pPr>
              <w:spacing w:line="236" w:lineRule="auto"/>
              <w:jc w:val="both"/>
              <w:rPr>
                <w:rFonts w:ascii="Arial" w:hAnsi="Arial" w:cs="Arial"/>
                <w:sz w:val="18"/>
                <w:szCs w:val="18"/>
              </w:rPr>
            </w:pPr>
            <w:r w:rsidRPr="007253D6">
              <w:rPr>
                <w:rFonts w:ascii="Arial" w:eastAsia="Century Gothic" w:hAnsi="Arial" w:cs="Arial"/>
                <w:b/>
                <w:sz w:val="18"/>
                <w:szCs w:val="18"/>
              </w:rPr>
              <w:t xml:space="preserve">Recognising concerns in self and others. </w:t>
            </w:r>
          </w:p>
          <w:p w:rsidR="007253D6" w:rsidRPr="007253D6" w:rsidRDefault="007253D6" w:rsidP="007253D6">
            <w:pPr>
              <w:numPr>
                <w:ilvl w:val="0"/>
                <w:numId w:val="3"/>
              </w:numPr>
              <w:spacing w:line="241" w:lineRule="auto"/>
              <w:ind w:hanging="142"/>
              <w:rPr>
                <w:rFonts w:ascii="Arial" w:hAnsi="Arial" w:cs="Arial"/>
                <w:sz w:val="18"/>
                <w:szCs w:val="18"/>
              </w:rPr>
            </w:pPr>
            <w:r w:rsidRPr="007253D6">
              <w:rPr>
                <w:rFonts w:ascii="Arial" w:eastAsia="Century Gothic" w:hAnsi="Arial" w:cs="Arial"/>
                <w:sz w:val="18"/>
                <w:szCs w:val="18"/>
              </w:rPr>
              <w:t xml:space="preserve">Outward and subtle signs of mental wellbeing concerns. </w:t>
            </w:r>
          </w:p>
          <w:p w:rsidR="007253D6" w:rsidRPr="007253D6" w:rsidRDefault="007253D6" w:rsidP="007253D6">
            <w:pPr>
              <w:numPr>
                <w:ilvl w:val="0"/>
                <w:numId w:val="3"/>
              </w:numPr>
              <w:spacing w:line="241" w:lineRule="auto"/>
              <w:ind w:hanging="142"/>
              <w:rPr>
                <w:rFonts w:ascii="Arial" w:hAnsi="Arial" w:cs="Arial"/>
                <w:sz w:val="18"/>
                <w:szCs w:val="18"/>
              </w:rPr>
            </w:pPr>
            <w:proofErr w:type="gramStart"/>
            <w:r w:rsidRPr="007253D6">
              <w:rPr>
                <w:rFonts w:ascii="Arial" w:eastAsia="Century Gothic" w:hAnsi="Arial" w:cs="Arial"/>
                <w:sz w:val="18"/>
                <w:szCs w:val="18"/>
              </w:rPr>
              <w:t>Taking action</w:t>
            </w:r>
            <w:proofErr w:type="gramEnd"/>
            <w:r w:rsidRPr="007253D6">
              <w:rPr>
                <w:rFonts w:ascii="Arial" w:eastAsia="Century Gothic" w:hAnsi="Arial" w:cs="Arial"/>
                <w:sz w:val="18"/>
                <w:szCs w:val="18"/>
              </w:rPr>
              <w:t xml:space="preserve"> to minimise mental wellbeing concerns in ourselves and others. </w:t>
            </w:r>
          </w:p>
          <w:p w:rsidR="007253D6" w:rsidRPr="007253D6" w:rsidRDefault="007253D6" w:rsidP="007253D6">
            <w:pPr>
              <w:numPr>
                <w:ilvl w:val="0"/>
                <w:numId w:val="3"/>
              </w:numPr>
              <w:spacing w:line="259" w:lineRule="auto"/>
              <w:ind w:hanging="142"/>
              <w:rPr>
                <w:rFonts w:ascii="Arial" w:hAnsi="Arial" w:cs="Arial"/>
                <w:sz w:val="18"/>
                <w:szCs w:val="18"/>
              </w:rPr>
            </w:pPr>
            <w:r w:rsidRPr="007253D6">
              <w:rPr>
                <w:rFonts w:ascii="Arial" w:eastAsia="Century Gothic" w:hAnsi="Arial" w:cs="Arial"/>
                <w:sz w:val="18"/>
                <w:szCs w:val="18"/>
              </w:rPr>
              <w:t xml:space="preserve">Early interventions – addressing mental wellbeing concerns. </w:t>
            </w:r>
          </w:p>
        </w:tc>
        <w:tc>
          <w:tcPr>
            <w:tcW w:w="2196"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b/>
                <w:sz w:val="18"/>
                <w:szCs w:val="18"/>
              </w:rPr>
              <w:t xml:space="preserve">Citizenship: </w:t>
            </w:r>
          </w:p>
          <w:p w:rsidR="007253D6" w:rsidRPr="007253D6" w:rsidRDefault="007253D6" w:rsidP="007253D6">
            <w:pPr>
              <w:numPr>
                <w:ilvl w:val="0"/>
                <w:numId w:val="4"/>
              </w:numPr>
              <w:spacing w:line="242" w:lineRule="auto"/>
              <w:ind w:hanging="142"/>
              <w:rPr>
                <w:rFonts w:ascii="Arial" w:hAnsi="Arial" w:cs="Arial"/>
                <w:sz w:val="18"/>
                <w:szCs w:val="18"/>
              </w:rPr>
            </w:pPr>
            <w:r w:rsidRPr="007253D6">
              <w:rPr>
                <w:rFonts w:ascii="Arial" w:eastAsia="Century Gothic" w:hAnsi="Arial" w:cs="Arial"/>
                <w:sz w:val="18"/>
                <w:szCs w:val="18"/>
              </w:rPr>
              <w:t xml:space="preserve">Precious liberties enjoyed by the UK. </w:t>
            </w:r>
          </w:p>
          <w:p w:rsidR="007253D6" w:rsidRPr="007253D6" w:rsidRDefault="007253D6" w:rsidP="007253D6">
            <w:pPr>
              <w:numPr>
                <w:ilvl w:val="0"/>
                <w:numId w:val="4"/>
              </w:numPr>
              <w:spacing w:after="19" w:line="242" w:lineRule="auto"/>
              <w:ind w:hanging="142"/>
              <w:rPr>
                <w:rFonts w:ascii="Arial" w:hAnsi="Arial" w:cs="Arial"/>
                <w:sz w:val="18"/>
                <w:szCs w:val="18"/>
              </w:rPr>
            </w:pPr>
            <w:r w:rsidRPr="007253D6">
              <w:rPr>
                <w:rFonts w:ascii="Arial" w:eastAsia="Century Gothic" w:hAnsi="Arial" w:cs="Arial"/>
                <w:sz w:val="18"/>
                <w:szCs w:val="18"/>
              </w:rPr>
              <w:t xml:space="preserve">Nature of rules, laws, and the justice system. </w:t>
            </w:r>
          </w:p>
          <w:p w:rsidR="007253D6" w:rsidRPr="007253D6" w:rsidRDefault="007253D6" w:rsidP="00002703">
            <w:pPr>
              <w:spacing w:line="259" w:lineRule="auto"/>
              <w:ind w:left="243"/>
              <w:rPr>
                <w:rFonts w:ascii="Arial" w:hAnsi="Arial" w:cs="Arial"/>
                <w:sz w:val="18"/>
                <w:szCs w:val="18"/>
              </w:rPr>
            </w:pPr>
            <w:r w:rsidRPr="007253D6">
              <w:rPr>
                <w:rFonts w:ascii="Arial" w:eastAsia="Century Gothic" w:hAnsi="Arial" w:cs="Arial"/>
                <w:sz w:val="18"/>
                <w:szCs w:val="18"/>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b/>
                <w:sz w:val="18"/>
                <w:szCs w:val="18"/>
              </w:rPr>
              <w:t xml:space="preserve">CEIAG: </w:t>
            </w:r>
          </w:p>
          <w:p w:rsidR="007253D6" w:rsidRPr="007253D6" w:rsidRDefault="007253D6" w:rsidP="007253D6">
            <w:pPr>
              <w:numPr>
                <w:ilvl w:val="0"/>
                <w:numId w:val="5"/>
              </w:numPr>
              <w:spacing w:line="242" w:lineRule="auto"/>
              <w:ind w:hanging="142"/>
              <w:rPr>
                <w:rFonts w:ascii="Arial" w:hAnsi="Arial" w:cs="Arial"/>
                <w:sz w:val="18"/>
                <w:szCs w:val="18"/>
              </w:rPr>
            </w:pPr>
            <w:r w:rsidRPr="007253D6">
              <w:rPr>
                <w:rFonts w:ascii="Arial" w:eastAsia="Century Gothic" w:hAnsi="Arial" w:cs="Arial"/>
                <w:sz w:val="18"/>
                <w:szCs w:val="18"/>
              </w:rPr>
              <w:t xml:space="preserve">Developing links from classes to careers. </w:t>
            </w:r>
          </w:p>
          <w:p w:rsidR="007253D6" w:rsidRPr="007253D6" w:rsidRDefault="007253D6" w:rsidP="007253D6">
            <w:pPr>
              <w:numPr>
                <w:ilvl w:val="0"/>
                <w:numId w:val="5"/>
              </w:numPr>
              <w:spacing w:line="241" w:lineRule="auto"/>
              <w:ind w:hanging="142"/>
              <w:rPr>
                <w:rFonts w:ascii="Arial" w:hAnsi="Arial" w:cs="Arial"/>
                <w:sz w:val="18"/>
                <w:szCs w:val="18"/>
              </w:rPr>
            </w:pPr>
            <w:r w:rsidRPr="007253D6">
              <w:rPr>
                <w:rFonts w:ascii="Arial" w:eastAsia="Century Gothic" w:hAnsi="Arial" w:cs="Arial"/>
                <w:sz w:val="18"/>
                <w:szCs w:val="18"/>
              </w:rPr>
              <w:t xml:space="preserve">Increasing awareness of which career opportunities are open to me. </w:t>
            </w:r>
          </w:p>
          <w:p w:rsidR="007253D6" w:rsidRPr="007253D6" w:rsidRDefault="007253D6" w:rsidP="007253D6">
            <w:pPr>
              <w:numPr>
                <w:ilvl w:val="0"/>
                <w:numId w:val="5"/>
              </w:numPr>
              <w:spacing w:line="238" w:lineRule="auto"/>
              <w:ind w:hanging="142"/>
              <w:rPr>
                <w:rFonts w:ascii="Arial" w:hAnsi="Arial" w:cs="Arial"/>
                <w:sz w:val="18"/>
                <w:szCs w:val="18"/>
              </w:rPr>
            </w:pPr>
            <w:r w:rsidRPr="007253D6">
              <w:rPr>
                <w:rFonts w:ascii="Arial" w:eastAsia="Century Gothic" w:hAnsi="Arial" w:cs="Arial"/>
                <w:sz w:val="18"/>
                <w:szCs w:val="18"/>
              </w:rPr>
              <w:t xml:space="preserve">Developing links to industry professionals. </w:t>
            </w:r>
            <w:bookmarkStart w:id="0" w:name="_GoBack"/>
            <w:r w:rsidRPr="007253D6">
              <w:rPr>
                <w:rFonts w:ascii="Arial" w:eastAsia="Century Gothic" w:hAnsi="Arial" w:cs="Arial"/>
                <w:b/>
                <w:sz w:val="18"/>
                <w:szCs w:val="18"/>
              </w:rPr>
              <w:t xml:space="preserve">Internet Safety and Harms: Reality v the Online World. </w:t>
            </w:r>
          </w:p>
          <w:p w:rsidR="007253D6" w:rsidRPr="007253D6" w:rsidRDefault="007253D6" w:rsidP="007253D6">
            <w:pPr>
              <w:numPr>
                <w:ilvl w:val="0"/>
                <w:numId w:val="5"/>
              </w:numPr>
              <w:spacing w:line="259" w:lineRule="auto"/>
              <w:ind w:hanging="142"/>
              <w:rPr>
                <w:rFonts w:ascii="Arial" w:hAnsi="Arial" w:cs="Arial"/>
                <w:sz w:val="18"/>
                <w:szCs w:val="18"/>
              </w:rPr>
            </w:pPr>
            <w:r w:rsidRPr="007253D6">
              <w:rPr>
                <w:rFonts w:ascii="Arial" w:eastAsia="Century Gothic" w:hAnsi="Arial" w:cs="Arial"/>
                <w:sz w:val="18"/>
                <w:szCs w:val="18"/>
              </w:rPr>
              <w:t xml:space="preserve">Reality v the online world. </w:t>
            </w:r>
          </w:p>
          <w:p w:rsidR="007253D6" w:rsidRPr="007253D6" w:rsidRDefault="007253D6" w:rsidP="007253D6">
            <w:pPr>
              <w:numPr>
                <w:ilvl w:val="0"/>
                <w:numId w:val="5"/>
              </w:numPr>
              <w:spacing w:line="259" w:lineRule="auto"/>
              <w:ind w:hanging="142"/>
              <w:rPr>
                <w:rFonts w:ascii="Arial" w:hAnsi="Arial" w:cs="Arial"/>
                <w:sz w:val="18"/>
                <w:szCs w:val="18"/>
              </w:rPr>
            </w:pPr>
            <w:r w:rsidRPr="007253D6">
              <w:rPr>
                <w:rFonts w:ascii="Arial" w:eastAsia="Century Gothic" w:hAnsi="Arial" w:cs="Arial"/>
                <w:sz w:val="18"/>
                <w:szCs w:val="18"/>
              </w:rPr>
              <w:t xml:space="preserve">Unhealthy comparisons. </w:t>
            </w:r>
          </w:p>
          <w:p w:rsidR="007253D6" w:rsidRPr="007253D6" w:rsidRDefault="007253D6" w:rsidP="007253D6">
            <w:pPr>
              <w:numPr>
                <w:ilvl w:val="0"/>
                <w:numId w:val="5"/>
              </w:numPr>
              <w:spacing w:line="259" w:lineRule="auto"/>
              <w:ind w:hanging="142"/>
              <w:rPr>
                <w:rFonts w:ascii="Arial" w:hAnsi="Arial" w:cs="Arial"/>
                <w:sz w:val="18"/>
                <w:szCs w:val="18"/>
              </w:rPr>
            </w:pPr>
            <w:r w:rsidRPr="007253D6">
              <w:rPr>
                <w:rFonts w:ascii="Arial" w:eastAsia="Century Gothic" w:hAnsi="Arial" w:cs="Arial"/>
                <w:sz w:val="18"/>
                <w:szCs w:val="18"/>
              </w:rPr>
              <w:t xml:space="preserve">Social media and reality. </w:t>
            </w:r>
          </w:p>
          <w:p w:rsidR="007253D6" w:rsidRPr="007253D6" w:rsidRDefault="007253D6" w:rsidP="007253D6">
            <w:pPr>
              <w:numPr>
                <w:ilvl w:val="0"/>
                <w:numId w:val="5"/>
              </w:numPr>
              <w:spacing w:line="259" w:lineRule="auto"/>
              <w:ind w:hanging="142"/>
              <w:rPr>
                <w:rFonts w:ascii="Arial" w:hAnsi="Arial" w:cs="Arial"/>
                <w:sz w:val="18"/>
                <w:szCs w:val="18"/>
              </w:rPr>
            </w:pPr>
            <w:r w:rsidRPr="007253D6">
              <w:rPr>
                <w:rFonts w:ascii="Arial" w:eastAsia="Century Gothic" w:hAnsi="Arial" w:cs="Arial"/>
                <w:sz w:val="18"/>
                <w:szCs w:val="18"/>
              </w:rPr>
              <w:t xml:space="preserve">Understanding online information. </w:t>
            </w:r>
            <w:bookmarkEnd w:id="0"/>
          </w:p>
        </w:tc>
        <w:tc>
          <w:tcPr>
            <w:tcW w:w="2201"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b/>
                <w:sz w:val="18"/>
                <w:szCs w:val="18"/>
              </w:rPr>
              <w:t xml:space="preserve">Drugs and Alcohol: </w:t>
            </w:r>
          </w:p>
          <w:p w:rsidR="007253D6" w:rsidRPr="007253D6" w:rsidRDefault="007253D6" w:rsidP="00945F3C">
            <w:pPr>
              <w:rPr>
                <w:rFonts w:ascii="Arial" w:hAnsi="Arial" w:cs="Arial"/>
                <w:sz w:val="18"/>
                <w:szCs w:val="18"/>
              </w:rPr>
            </w:pPr>
            <w:r w:rsidRPr="007253D6">
              <w:rPr>
                <w:rFonts w:ascii="Arial" w:eastAsia="Century Gothic" w:hAnsi="Arial" w:cs="Arial"/>
                <w:b/>
                <w:sz w:val="18"/>
                <w:szCs w:val="18"/>
              </w:rPr>
              <w:t xml:space="preserve">Smoking and Alcohol. </w:t>
            </w:r>
          </w:p>
          <w:p w:rsidR="007253D6" w:rsidRPr="007253D6" w:rsidRDefault="007253D6" w:rsidP="007253D6">
            <w:pPr>
              <w:numPr>
                <w:ilvl w:val="0"/>
                <w:numId w:val="6"/>
              </w:numPr>
              <w:spacing w:line="242" w:lineRule="auto"/>
              <w:ind w:hanging="142"/>
              <w:rPr>
                <w:rFonts w:ascii="Arial" w:hAnsi="Arial" w:cs="Arial"/>
                <w:sz w:val="18"/>
                <w:szCs w:val="18"/>
              </w:rPr>
            </w:pPr>
            <w:r w:rsidRPr="007253D6">
              <w:rPr>
                <w:rFonts w:ascii="Arial" w:eastAsia="Century Gothic" w:hAnsi="Arial" w:cs="Arial"/>
                <w:sz w:val="18"/>
                <w:szCs w:val="18"/>
              </w:rPr>
              <w:t xml:space="preserve">Introduction – alcohol and tobacco. </w:t>
            </w:r>
          </w:p>
          <w:p w:rsidR="007253D6" w:rsidRPr="007253D6" w:rsidRDefault="007253D6" w:rsidP="007253D6">
            <w:pPr>
              <w:numPr>
                <w:ilvl w:val="0"/>
                <w:numId w:val="6"/>
              </w:numPr>
              <w:spacing w:line="242" w:lineRule="auto"/>
              <w:ind w:hanging="142"/>
              <w:rPr>
                <w:rFonts w:ascii="Arial" w:hAnsi="Arial" w:cs="Arial"/>
                <w:sz w:val="18"/>
                <w:szCs w:val="18"/>
              </w:rPr>
            </w:pPr>
            <w:r w:rsidRPr="007253D6">
              <w:rPr>
                <w:rFonts w:ascii="Arial" w:eastAsia="Century Gothic" w:hAnsi="Arial" w:cs="Arial"/>
                <w:sz w:val="18"/>
                <w:szCs w:val="18"/>
              </w:rPr>
              <w:t xml:space="preserve">Low risk alcohol consumption. </w:t>
            </w:r>
          </w:p>
          <w:p w:rsidR="007253D6" w:rsidRPr="007253D6" w:rsidRDefault="007253D6" w:rsidP="007253D6">
            <w:pPr>
              <w:numPr>
                <w:ilvl w:val="0"/>
                <w:numId w:val="6"/>
              </w:numPr>
              <w:spacing w:line="242" w:lineRule="auto"/>
              <w:ind w:hanging="142"/>
              <w:rPr>
                <w:rFonts w:ascii="Arial" w:hAnsi="Arial" w:cs="Arial"/>
                <w:sz w:val="18"/>
                <w:szCs w:val="18"/>
              </w:rPr>
            </w:pPr>
            <w:r w:rsidRPr="007253D6">
              <w:rPr>
                <w:rFonts w:ascii="Arial" w:eastAsia="Century Gothic" w:hAnsi="Arial" w:cs="Arial"/>
                <w:sz w:val="18"/>
                <w:szCs w:val="18"/>
              </w:rPr>
              <w:t xml:space="preserve">Alcohol: short term and long-term health risks. </w:t>
            </w:r>
          </w:p>
          <w:p w:rsidR="007253D6" w:rsidRPr="007253D6" w:rsidRDefault="007253D6" w:rsidP="007253D6">
            <w:pPr>
              <w:numPr>
                <w:ilvl w:val="0"/>
                <w:numId w:val="6"/>
              </w:numPr>
              <w:spacing w:after="17" w:line="242" w:lineRule="auto"/>
              <w:ind w:hanging="142"/>
              <w:rPr>
                <w:rFonts w:ascii="Arial" w:hAnsi="Arial" w:cs="Arial"/>
                <w:sz w:val="18"/>
                <w:szCs w:val="18"/>
              </w:rPr>
            </w:pPr>
            <w:r w:rsidRPr="007253D6">
              <w:rPr>
                <w:rFonts w:ascii="Arial" w:eastAsia="Century Gothic" w:hAnsi="Arial" w:cs="Arial"/>
                <w:sz w:val="18"/>
                <w:szCs w:val="18"/>
              </w:rPr>
              <w:t xml:space="preserve">Alcohol: Psychological risks. </w:t>
            </w:r>
          </w:p>
          <w:p w:rsidR="007253D6" w:rsidRPr="007253D6" w:rsidRDefault="007253D6" w:rsidP="00945F3C">
            <w:pPr>
              <w:spacing w:line="239" w:lineRule="auto"/>
              <w:jc w:val="both"/>
              <w:rPr>
                <w:rFonts w:ascii="Arial" w:hAnsi="Arial" w:cs="Arial"/>
                <w:sz w:val="18"/>
                <w:szCs w:val="18"/>
              </w:rPr>
            </w:pPr>
            <w:r w:rsidRPr="007253D6">
              <w:rPr>
                <w:rFonts w:ascii="Arial" w:eastAsia="Century Gothic" w:hAnsi="Arial" w:cs="Arial"/>
                <w:b/>
                <w:sz w:val="18"/>
                <w:szCs w:val="18"/>
              </w:rPr>
              <w:t xml:space="preserve">Intimate Relationships: Positivity and Health. </w:t>
            </w:r>
          </w:p>
          <w:p w:rsidR="007253D6" w:rsidRPr="007253D6" w:rsidRDefault="007253D6" w:rsidP="007253D6">
            <w:pPr>
              <w:numPr>
                <w:ilvl w:val="0"/>
                <w:numId w:val="6"/>
              </w:numPr>
              <w:spacing w:after="3" w:line="239" w:lineRule="auto"/>
              <w:ind w:hanging="142"/>
              <w:rPr>
                <w:rFonts w:ascii="Arial" w:hAnsi="Arial" w:cs="Arial"/>
                <w:sz w:val="18"/>
                <w:szCs w:val="18"/>
              </w:rPr>
            </w:pPr>
            <w:r w:rsidRPr="007253D6">
              <w:rPr>
                <w:rFonts w:ascii="Arial" w:eastAsia="Century Gothic" w:hAnsi="Arial" w:cs="Arial"/>
                <w:sz w:val="18"/>
                <w:szCs w:val="18"/>
              </w:rPr>
              <w:t xml:space="preserve">What is a healthy intimate relationship? </w:t>
            </w:r>
          </w:p>
          <w:p w:rsidR="007253D6" w:rsidRPr="007253D6" w:rsidRDefault="007253D6" w:rsidP="007253D6">
            <w:pPr>
              <w:numPr>
                <w:ilvl w:val="0"/>
                <w:numId w:val="6"/>
              </w:numPr>
              <w:spacing w:after="3" w:line="239" w:lineRule="auto"/>
              <w:ind w:hanging="142"/>
              <w:rPr>
                <w:rFonts w:ascii="Arial" w:hAnsi="Arial" w:cs="Arial"/>
                <w:sz w:val="18"/>
                <w:szCs w:val="18"/>
              </w:rPr>
            </w:pPr>
            <w:r w:rsidRPr="007253D6">
              <w:rPr>
                <w:rFonts w:ascii="Arial" w:eastAsia="Century Gothic" w:hAnsi="Arial" w:cs="Arial"/>
                <w:sz w:val="18"/>
                <w:szCs w:val="18"/>
              </w:rPr>
              <w:t xml:space="preserve">Diversity within intimate relationships. </w:t>
            </w:r>
          </w:p>
          <w:p w:rsidR="007253D6" w:rsidRPr="007253D6" w:rsidRDefault="007253D6" w:rsidP="007253D6">
            <w:pPr>
              <w:numPr>
                <w:ilvl w:val="0"/>
                <w:numId w:val="6"/>
              </w:numPr>
              <w:spacing w:line="241" w:lineRule="auto"/>
              <w:ind w:hanging="142"/>
              <w:rPr>
                <w:rFonts w:ascii="Arial" w:hAnsi="Arial" w:cs="Arial"/>
                <w:sz w:val="18"/>
                <w:szCs w:val="18"/>
              </w:rPr>
            </w:pPr>
            <w:r w:rsidRPr="007253D6">
              <w:rPr>
                <w:rFonts w:ascii="Arial" w:eastAsia="Century Gothic" w:hAnsi="Arial" w:cs="Arial"/>
                <w:sz w:val="18"/>
                <w:szCs w:val="18"/>
              </w:rPr>
              <w:t xml:space="preserve">Good communication within intimate relationships. </w:t>
            </w:r>
          </w:p>
          <w:p w:rsidR="007253D6" w:rsidRPr="007253D6" w:rsidRDefault="007253D6" w:rsidP="007253D6">
            <w:pPr>
              <w:numPr>
                <w:ilvl w:val="0"/>
                <w:numId w:val="6"/>
              </w:numPr>
              <w:spacing w:line="259" w:lineRule="auto"/>
              <w:ind w:hanging="142"/>
              <w:rPr>
                <w:rFonts w:ascii="Arial" w:hAnsi="Arial" w:cs="Arial"/>
                <w:sz w:val="18"/>
                <w:szCs w:val="18"/>
              </w:rPr>
            </w:pPr>
            <w:r w:rsidRPr="007253D6">
              <w:rPr>
                <w:rFonts w:ascii="Arial" w:eastAsia="Century Gothic" w:hAnsi="Arial" w:cs="Arial"/>
                <w:sz w:val="18"/>
                <w:szCs w:val="18"/>
              </w:rPr>
              <w:t xml:space="preserve">Sexual pressure. </w:t>
            </w:r>
          </w:p>
        </w:tc>
      </w:tr>
      <w:tr w:rsidR="007253D6" w:rsidTr="00945F3C">
        <w:trPr>
          <w:trHeight w:val="1430"/>
        </w:trPr>
        <w:tc>
          <w:tcPr>
            <w:tcW w:w="2525"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b/>
                <w:sz w:val="18"/>
                <w:szCs w:val="18"/>
              </w:rPr>
              <w:t xml:space="preserve">Skills </w:t>
            </w:r>
          </w:p>
        </w:tc>
        <w:tc>
          <w:tcPr>
            <w:tcW w:w="12864" w:type="dxa"/>
            <w:gridSpan w:val="6"/>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ind w:right="14"/>
              <w:rPr>
                <w:rFonts w:ascii="Arial" w:hAnsi="Arial" w:cs="Arial"/>
                <w:sz w:val="18"/>
                <w:szCs w:val="18"/>
              </w:rPr>
            </w:pPr>
            <w:r w:rsidRPr="007253D6">
              <w:rPr>
                <w:rFonts w:ascii="Arial" w:eastAsia="Century Gothic" w:hAnsi="Arial" w:cs="Arial"/>
                <w:b/>
                <w:sz w:val="18"/>
                <w:szCs w:val="18"/>
              </w:rPr>
              <w:t xml:space="preserve">Through the use of stories, examples, and scenarios, students will reflect on the characters’ choices, consider decisions for them, and engage with their experiences. Other skills practised at an age-appropriate level are: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Empathy.                                                                                                                             ○ Treating others with care and respect.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Connection making.                                                                                                         </w:t>
            </w:r>
            <w:r>
              <w:rPr>
                <w:rFonts w:ascii="Arial" w:eastAsia="Century Gothic" w:hAnsi="Arial" w:cs="Arial"/>
                <w:sz w:val="18"/>
                <w:szCs w:val="18"/>
              </w:rPr>
              <w:t xml:space="preserve">  </w:t>
            </w:r>
            <w:r w:rsidRPr="007253D6">
              <w:rPr>
                <w:rFonts w:ascii="Arial" w:eastAsia="Century Gothic" w:hAnsi="Arial" w:cs="Arial"/>
                <w:sz w:val="18"/>
                <w:szCs w:val="18"/>
              </w:rPr>
              <w:t xml:space="preserve"> ○ Reflection on the human experience.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Knowledge to make their own informed lifestyle decisions (within the law).            </w:t>
            </w:r>
            <w:r>
              <w:rPr>
                <w:rFonts w:ascii="Arial" w:eastAsia="Century Gothic" w:hAnsi="Arial" w:cs="Arial"/>
                <w:sz w:val="18"/>
                <w:szCs w:val="18"/>
              </w:rPr>
              <w:t xml:space="preserve">         </w:t>
            </w:r>
            <w:r w:rsidRPr="007253D6">
              <w:rPr>
                <w:rFonts w:ascii="Arial" w:eastAsia="Century Gothic" w:hAnsi="Arial" w:cs="Arial"/>
                <w:sz w:val="18"/>
                <w:szCs w:val="18"/>
              </w:rPr>
              <w:t xml:space="preserve"> ○ Deep reflection and consideration of perspective. </w:t>
            </w:r>
          </w:p>
          <w:p w:rsidR="007253D6" w:rsidRPr="007253D6" w:rsidRDefault="007253D6" w:rsidP="00945F3C">
            <w:pPr>
              <w:spacing w:after="26"/>
              <w:rPr>
                <w:rFonts w:ascii="Arial" w:hAnsi="Arial" w:cs="Arial"/>
                <w:sz w:val="18"/>
                <w:szCs w:val="18"/>
              </w:rPr>
            </w:pPr>
            <w:r w:rsidRPr="007253D6">
              <w:rPr>
                <w:rFonts w:ascii="Arial" w:eastAsia="Century Gothic" w:hAnsi="Arial" w:cs="Arial"/>
                <w:sz w:val="18"/>
                <w:szCs w:val="18"/>
              </w:rPr>
              <w:t xml:space="preserve">○ Debate and </w:t>
            </w:r>
            <w:proofErr w:type="spellStart"/>
            <w:r w:rsidRPr="007253D6">
              <w:rPr>
                <w:rFonts w:ascii="Arial" w:eastAsia="Century Gothic" w:hAnsi="Arial" w:cs="Arial"/>
                <w:sz w:val="18"/>
                <w:szCs w:val="18"/>
              </w:rPr>
              <w:t>oracy</w:t>
            </w:r>
            <w:proofErr w:type="spellEnd"/>
            <w:r w:rsidRPr="007253D6">
              <w:rPr>
                <w:rFonts w:ascii="Arial" w:eastAsia="Century Gothic" w:hAnsi="Arial" w:cs="Arial"/>
                <w:sz w:val="18"/>
                <w:szCs w:val="18"/>
              </w:rPr>
              <w:t xml:space="preserve"> skills.                                                                                                    ○ Resilience.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Equality and inclusivity.                                                                                                      ○ Maintaining their own self-care. </w:t>
            </w:r>
          </w:p>
        </w:tc>
      </w:tr>
      <w:tr w:rsidR="007253D6" w:rsidTr="00945F3C">
        <w:trPr>
          <w:trHeight w:val="2119"/>
        </w:trPr>
        <w:tc>
          <w:tcPr>
            <w:tcW w:w="2525"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b/>
                <w:sz w:val="18"/>
                <w:szCs w:val="18"/>
              </w:rPr>
              <w:lastRenderedPageBreak/>
              <w:t xml:space="preserve">Assessments </w:t>
            </w:r>
          </w:p>
        </w:tc>
        <w:tc>
          <w:tcPr>
            <w:tcW w:w="1872"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Ongoing formative assessment through regular retrieval and checking for understanding though quizzing, questioning and mini-whiteboards.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w:t>
            </w:r>
          </w:p>
        </w:tc>
        <w:tc>
          <w:tcPr>
            <w:tcW w:w="2196"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Ongoing formative assessment through regular retrieval and checking for understanding though quizzing, questioning and mini-whiteboards. </w:t>
            </w:r>
          </w:p>
          <w:p w:rsidR="007253D6" w:rsidRPr="007253D6" w:rsidRDefault="007253D6" w:rsidP="00945F3C">
            <w:pPr>
              <w:spacing w:line="239" w:lineRule="auto"/>
              <w:ind w:right="236"/>
              <w:jc w:val="both"/>
              <w:rPr>
                <w:rFonts w:ascii="Arial" w:hAnsi="Arial" w:cs="Arial"/>
                <w:sz w:val="18"/>
                <w:szCs w:val="18"/>
              </w:rPr>
            </w:pPr>
          </w:p>
          <w:p w:rsidR="007253D6" w:rsidRPr="007253D6" w:rsidRDefault="007253D6" w:rsidP="00945F3C">
            <w:pPr>
              <w:spacing w:line="239" w:lineRule="auto"/>
              <w:ind w:right="236"/>
              <w:jc w:val="both"/>
              <w:rPr>
                <w:rFonts w:ascii="Arial" w:hAnsi="Arial" w:cs="Arial"/>
                <w:sz w:val="18"/>
                <w:szCs w:val="18"/>
              </w:rPr>
            </w:pPr>
          </w:p>
          <w:p w:rsidR="007253D6" w:rsidRPr="007253D6" w:rsidRDefault="007253D6" w:rsidP="00945F3C">
            <w:pPr>
              <w:spacing w:line="239" w:lineRule="auto"/>
              <w:ind w:right="236"/>
              <w:jc w:val="both"/>
              <w:rPr>
                <w:rFonts w:ascii="Arial" w:hAnsi="Arial" w:cs="Arial"/>
                <w:sz w:val="18"/>
                <w:szCs w:val="18"/>
              </w:rPr>
            </w:pPr>
            <w:r w:rsidRPr="007253D6">
              <w:rPr>
                <w:rFonts w:ascii="Arial" w:hAnsi="Arial" w:cs="Arial"/>
                <w:sz w:val="18"/>
                <w:szCs w:val="18"/>
              </w:rPr>
              <w:t xml:space="preserve">Termly quiz to consolidate content learnt. </w:t>
            </w:r>
          </w:p>
          <w:p w:rsidR="007253D6" w:rsidRPr="007253D6" w:rsidRDefault="007253D6" w:rsidP="00945F3C">
            <w:pPr>
              <w:spacing w:after="96"/>
              <w:rPr>
                <w:rFonts w:ascii="Arial" w:hAnsi="Arial" w:cs="Arial"/>
                <w:sz w:val="18"/>
                <w:szCs w:val="18"/>
              </w:rPr>
            </w:pPr>
            <w:r w:rsidRPr="007253D6">
              <w:rPr>
                <w:rFonts w:ascii="Arial" w:eastAsia="Century Gothic" w:hAnsi="Arial" w:cs="Arial"/>
                <w:sz w:val="18"/>
                <w:szCs w:val="18"/>
              </w:rPr>
              <w:t xml:space="preserve">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w:t>
            </w:r>
          </w:p>
        </w:tc>
        <w:tc>
          <w:tcPr>
            <w:tcW w:w="2198"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Ongoing formative assessment through regular retrieval and checking for understanding though quizzing, questioning and mini-whiteboards. </w:t>
            </w:r>
          </w:p>
          <w:p w:rsidR="007253D6" w:rsidRPr="007253D6" w:rsidRDefault="007253D6" w:rsidP="00945F3C">
            <w:pPr>
              <w:rPr>
                <w:rFonts w:ascii="Arial" w:hAnsi="Arial" w:cs="Arial"/>
                <w:sz w:val="18"/>
                <w:szCs w:val="18"/>
              </w:rPr>
            </w:pPr>
          </w:p>
        </w:tc>
        <w:tc>
          <w:tcPr>
            <w:tcW w:w="2196"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Ongoing formative assessment through regular retrieval and checking for understanding though quizzing, questioning and mini-whiteboards. </w:t>
            </w:r>
          </w:p>
          <w:p w:rsidR="007253D6" w:rsidRPr="007253D6" w:rsidRDefault="007253D6" w:rsidP="00945F3C">
            <w:pPr>
              <w:spacing w:line="239" w:lineRule="auto"/>
              <w:ind w:right="236"/>
              <w:jc w:val="both"/>
              <w:rPr>
                <w:rFonts w:ascii="Arial" w:hAnsi="Arial" w:cs="Arial"/>
                <w:sz w:val="18"/>
                <w:szCs w:val="18"/>
              </w:rPr>
            </w:pPr>
          </w:p>
          <w:p w:rsidR="007253D6" w:rsidRPr="007253D6" w:rsidRDefault="007253D6" w:rsidP="00945F3C">
            <w:pPr>
              <w:spacing w:line="239" w:lineRule="auto"/>
              <w:ind w:right="236"/>
              <w:jc w:val="both"/>
              <w:rPr>
                <w:rFonts w:ascii="Arial" w:hAnsi="Arial" w:cs="Arial"/>
                <w:sz w:val="18"/>
                <w:szCs w:val="18"/>
              </w:rPr>
            </w:pPr>
          </w:p>
          <w:p w:rsidR="007253D6" w:rsidRPr="007253D6" w:rsidRDefault="007253D6" w:rsidP="00945F3C">
            <w:pPr>
              <w:spacing w:line="239" w:lineRule="auto"/>
              <w:ind w:right="236"/>
              <w:jc w:val="both"/>
              <w:rPr>
                <w:rFonts w:ascii="Arial" w:hAnsi="Arial" w:cs="Arial"/>
                <w:sz w:val="18"/>
                <w:szCs w:val="18"/>
              </w:rPr>
            </w:pPr>
            <w:r w:rsidRPr="007253D6">
              <w:rPr>
                <w:rFonts w:ascii="Arial" w:hAnsi="Arial" w:cs="Arial"/>
                <w:sz w:val="18"/>
                <w:szCs w:val="18"/>
              </w:rPr>
              <w:t xml:space="preserve">Termly quiz to consolidate content learnt. </w:t>
            </w:r>
          </w:p>
          <w:p w:rsidR="007253D6" w:rsidRPr="007253D6" w:rsidRDefault="007253D6" w:rsidP="00945F3C">
            <w:pPr>
              <w:rPr>
                <w:rFonts w:ascii="Arial" w:hAnsi="Arial" w:cs="Arial"/>
                <w:sz w:val="18"/>
                <w:szCs w:val="18"/>
              </w:rPr>
            </w:pPr>
          </w:p>
        </w:tc>
        <w:tc>
          <w:tcPr>
            <w:tcW w:w="2201"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Ongoing formative assessment through regular retrieval and checking for understanding though quizzing, questioning and mini-whiteboards. </w:t>
            </w:r>
          </w:p>
          <w:p w:rsidR="007253D6" w:rsidRPr="007253D6" w:rsidRDefault="007253D6" w:rsidP="00945F3C">
            <w:pPr>
              <w:rPr>
                <w:rFonts w:ascii="Arial" w:hAnsi="Arial" w:cs="Arial"/>
                <w:sz w:val="18"/>
                <w:szCs w:val="18"/>
              </w:rPr>
            </w:pPr>
          </w:p>
        </w:tc>
        <w:tc>
          <w:tcPr>
            <w:tcW w:w="2201" w:type="dxa"/>
            <w:tcBorders>
              <w:top w:val="single" w:sz="4" w:space="0" w:color="000000"/>
              <w:left w:val="single" w:sz="4" w:space="0" w:color="000000"/>
              <w:bottom w:val="single" w:sz="4" w:space="0" w:color="000000"/>
              <w:right w:val="single" w:sz="4" w:space="0" w:color="000000"/>
            </w:tcBorders>
          </w:tcPr>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Ongoing formative assessment through regular retrieval and checking for understanding though quizzing, questioning and mini-whiteboards. </w:t>
            </w:r>
          </w:p>
          <w:p w:rsidR="007253D6" w:rsidRPr="007253D6" w:rsidRDefault="007253D6" w:rsidP="00945F3C">
            <w:pPr>
              <w:spacing w:line="239" w:lineRule="auto"/>
              <w:ind w:right="236"/>
              <w:jc w:val="both"/>
              <w:rPr>
                <w:rFonts w:ascii="Arial" w:hAnsi="Arial" w:cs="Arial"/>
                <w:sz w:val="18"/>
                <w:szCs w:val="18"/>
              </w:rPr>
            </w:pPr>
          </w:p>
          <w:p w:rsidR="007253D6" w:rsidRPr="007253D6" w:rsidRDefault="007253D6" w:rsidP="00945F3C">
            <w:pPr>
              <w:spacing w:line="239" w:lineRule="auto"/>
              <w:ind w:right="236"/>
              <w:jc w:val="both"/>
              <w:rPr>
                <w:rFonts w:ascii="Arial" w:hAnsi="Arial" w:cs="Arial"/>
                <w:sz w:val="18"/>
                <w:szCs w:val="18"/>
              </w:rPr>
            </w:pPr>
          </w:p>
          <w:p w:rsidR="007253D6" w:rsidRPr="007253D6" w:rsidRDefault="007253D6" w:rsidP="00945F3C">
            <w:pPr>
              <w:spacing w:line="239" w:lineRule="auto"/>
              <w:ind w:right="236"/>
              <w:jc w:val="both"/>
              <w:rPr>
                <w:rFonts w:ascii="Arial" w:hAnsi="Arial" w:cs="Arial"/>
                <w:sz w:val="18"/>
                <w:szCs w:val="18"/>
              </w:rPr>
            </w:pPr>
            <w:r w:rsidRPr="007253D6">
              <w:rPr>
                <w:rFonts w:ascii="Arial" w:hAnsi="Arial" w:cs="Arial"/>
                <w:sz w:val="18"/>
                <w:szCs w:val="18"/>
              </w:rPr>
              <w:t xml:space="preserve">Termly quiz to consolidate content learnt.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w:t>
            </w:r>
          </w:p>
          <w:p w:rsidR="007253D6" w:rsidRPr="007253D6" w:rsidRDefault="007253D6" w:rsidP="00945F3C">
            <w:pPr>
              <w:rPr>
                <w:rFonts w:ascii="Arial" w:hAnsi="Arial" w:cs="Arial"/>
                <w:sz w:val="18"/>
                <w:szCs w:val="18"/>
              </w:rPr>
            </w:pPr>
            <w:r w:rsidRPr="007253D6">
              <w:rPr>
                <w:rFonts w:ascii="Arial" w:eastAsia="Century Gothic" w:hAnsi="Arial" w:cs="Arial"/>
                <w:sz w:val="18"/>
                <w:szCs w:val="18"/>
              </w:rPr>
              <w:t xml:space="preserve"> </w:t>
            </w:r>
          </w:p>
        </w:tc>
      </w:tr>
    </w:tbl>
    <w:p w:rsidR="00040563" w:rsidRDefault="00040563"/>
    <w:sectPr w:rsidR="00040563" w:rsidSect="007253D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B6105"/>
    <w:multiLevelType w:val="hybridMultilevel"/>
    <w:tmpl w:val="ADCAAC48"/>
    <w:lvl w:ilvl="0" w:tplc="EBBE93F4">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5E4219A">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7C680A8C">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06C062DC">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4A67C36">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89703832">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B6E6202">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EC4D3D6">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4E2660B0">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44AE14BC"/>
    <w:multiLevelType w:val="hybridMultilevel"/>
    <w:tmpl w:val="3282F08C"/>
    <w:lvl w:ilvl="0" w:tplc="DB18DF3E">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DCCA93E">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52D07C70">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63CCE904">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C3C84192">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CCFA2F42">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532C50A0">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4B29AE6">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EF5E9160">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4CCF5E76"/>
    <w:multiLevelType w:val="hybridMultilevel"/>
    <w:tmpl w:val="581A749E"/>
    <w:lvl w:ilvl="0" w:tplc="641E28A6">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6203110">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9066FC12">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E1BC6EEC">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C554D9C6">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0C9C1C98">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58DA3C4E">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360FCF2">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9B36FCAA">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5137707D"/>
    <w:multiLevelType w:val="hybridMultilevel"/>
    <w:tmpl w:val="7EDADD84"/>
    <w:lvl w:ilvl="0" w:tplc="AD02A1C6">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C6E0CA6">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83188F2A">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B42A4234">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386EEB6">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47E443B0">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51A6EF4">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1C18361C">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49E09A3C">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5478491F"/>
    <w:multiLevelType w:val="hybridMultilevel"/>
    <w:tmpl w:val="BD6EB752"/>
    <w:lvl w:ilvl="0" w:tplc="52561C44">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DA0E792">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70BC3D28">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810ADB26">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BCC08B8">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F06C253C">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BB0E7842">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2B24EEC">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2E8E8A0C">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7BC45233"/>
    <w:multiLevelType w:val="hybridMultilevel"/>
    <w:tmpl w:val="81F2B5FA"/>
    <w:lvl w:ilvl="0" w:tplc="EB80320E">
      <w:start w:val="1"/>
      <w:numFmt w:val="bullet"/>
      <w:lvlText w:val="•"/>
      <w:lvlJc w:val="left"/>
      <w:pPr>
        <w:ind w:left="24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B1243D20">
      <w:start w:val="1"/>
      <w:numFmt w:val="bullet"/>
      <w:lvlText w:val="o"/>
      <w:lvlJc w:val="left"/>
      <w:pPr>
        <w:ind w:left="12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80EAF172">
      <w:start w:val="1"/>
      <w:numFmt w:val="bullet"/>
      <w:lvlText w:val="▪"/>
      <w:lvlJc w:val="left"/>
      <w:pPr>
        <w:ind w:left="20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36E2E79E">
      <w:start w:val="1"/>
      <w:numFmt w:val="bullet"/>
      <w:lvlText w:val="•"/>
      <w:lvlJc w:val="left"/>
      <w:pPr>
        <w:ind w:left="27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A52BDC0">
      <w:start w:val="1"/>
      <w:numFmt w:val="bullet"/>
      <w:lvlText w:val="o"/>
      <w:lvlJc w:val="left"/>
      <w:pPr>
        <w:ind w:left="34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E7C29B82">
      <w:start w:val="1"/>
      <w:numFmt w:val="bullet"/>
      <w:lvlText w:val="▪"/>
      <w:lvlJc w:val="left"/>
      <w:pPr>
        <w:ind w:left="41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4B32542C">
      <w:start w:val="1"/>
      <w:numFmt w:val="bullet"/>
      <w:lvlText w:val="•"/>
      <w:lvlJc w:val="left"/>
      <w:pPr>
        <w:ind w:left="4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9C7A7C62">
      <w:start w:val="1"/>
      <w:numFmt w:val="bullet"/>
      <w:lvlText w:val="o"/>
      <w:lvlJc w:val="left"/>
      <w:pPr>
        <w:ind w:left="56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58A07560">
      <w:start w:val="1"/>
      <w:numFmt w:val="bullet"/>
      <w:lvlText w:val="▪"/>
      <w:lvlJc w:val="left"/>
      <w:pPr>
        <w:ind w:left="63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D6"/>
    <w:rsid w:val="00002703"/>
    <w:rsid w:val="00040563"/>
    <w:rsid w:val="007253D6"/>
    <w:rsid w:val="00C73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ECB2"/>
  <w15:chartTrackingRefBased/>
  <w15:docId w15:val="{A109C013-56AD-4CFE-BE50-791FAB3B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3D6"/>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253D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Longdendale High School</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Lowe</dc:creator>
  <cp:keywords/>
  <dc:description/>
  <cp:lastModifiedBy>Gemma Lowe</cp:lastModifiedBy>
  <cp:revision>2</cp:revision>
  <dcterms:created xsi:type="dcterms:W3CDTF">2023-07-20T14:07:00Z</dcterms:created>
  <dcterms:modified xsi:type="dcterms:W3CDTF">2023-09-07T16:10:00Z</dcterms:modified>
</cp:coreProperties>
</file>